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E66045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 w14:paraId="7F083F5C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 w14:paraId="3F486F30">
      <w:pPr>
        <w:spacing w:before="240" w:after="240" w:line="360" w:lineRule="auto"/>
        <w:jc w:val="center"/>
        <w:rPr>
          <w:rFonts w:hint="default" w:eastAsia="宋体"/>
          <w:b/>
          <w:sz w:val="48"/>
          <w:szCs w:val="48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32"/>
          <w:szCs w:val="32"/>
          <w:lang w:val="en-US" w:eastAsia="zh-CN"/>
        </w:rPr>
        <w:t>杭交院-招采平台</w:t>
      </w:r>
    </w:p>
    <w:p w14:paraId="64D6A6D8">
      <w:pPr>
        <w:spacing w:line="360" w:lineRule="auto"/>
        <w:jc w:val="center"/>
        <w:rPr>
          <w:rFonts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操作手册</w:t>
      </w:r>
    </w:p>
    <w:p w14:paraId="19CB973F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  <w:bookmarkStart w:id="0" w:name="_Hlk483665633"/>
      <w:r>
        <w:rPr>
          <w:rFonts w:hint="eastAsia" w:ascii="黑体" w:hAnsi="黑体" w:eastAsia="黑体"/>
          <w:b/>
          <w:color w:val="000000"/>
          <w:sz w:val="40"/>
          <w:szCs w:val="40"/>
        </w:rPr>
        <w:t>（投标人/供应商分册）</w:t>
      </w:r>
    </w:p>
    <w:bookmarkEnd w:id="0"/>
    <w:p w14:paraId="3275F925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</w:p>
    <w:tbl>
      <w:tblPr>
        <w:tblStyle w:val="16"/>
        <w:tblW w:w="70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404"/>
        <w:gridCol w:w="1404"/>
        <w:gridCol w:w="1404"/>
        <w:gridCol w:w="1405"/>
      </w:tblGrid>
      <w:tr w14:paraId="45E4D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72E3CF30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项目号</w:t>
            </w:r>
          </w:p>
        </w:tc>
        <w:tc>
          <w:tcPr>
            <w:tcW w:w="5617" w:type="dxa"/>
            <w:gridSpan w:val="4"/>
            <w:vAlign w:val="center"/>
          </w:tcPr>
          <w:p w14:paraId="289060F8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</w:p>
        </w:tc>
      </w:tr>
      <w:tr w14:paraId="5F03D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786820BC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文档编号</w:t>
            </w:r>
          </w:p>
        </w:tc>
        <w:tc>
          <w:tcPr>
            <w:tcW w:w="5617" w:type="dxa"/>
            <w:gridSpan w:val="4"/>
            <w:vAlign w:val="center"/>
          </w:tcPr>
          <w:p w14:paraId="4DBCCCA6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</w:p>
        </w:tc>
      </w:tr>
      <w:tr w14:paraId="6E4CC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321B5107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工程编号</w:t>
            </w:r>
          </w:p>
        </w:tc>
        <w:tc>
          <w:tcPr>
            <w:tcW w:w="5617" w:type="dxa"/>
            <w:gridSpan w:val="4"/>
            <w:vAlign w:val="center"/>
          </w:tcPr>
          <w:p w14:paraId="5D004465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无</w:t>
            </w:r>
          </w:p>
        </w:tc>
      </w:tr>
      <w:tr w14:paraId="4EBF6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11C0A4B1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版本号</w:t>
            </w:r>
          </w:p>
        </w:tc>
        <w:tc>
          <w:tcPr>
            <w:tcW w:w="5617" w:type="dxa"/>
            <w:gridSpan w:val="4"/>
            <w:vAlign w:val="center"/>
          </w:tcPr>
          <w:p w14:paraId="267AC40A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ascii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仿宋" w:hAnsi="仿宋"/>
                <w:color w:val="000000"/>
                <w:sz w:val="28"/>
                <w:szCs w:val="28"/>
              </w:rPr>
              <w:t>.0</w:t>
            </w:r>
          </w:p>
        </w:tc>
      </w:tr>
      <w:tr w14:paraId="0C0DA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20E34356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保密级别</w:t>
            </w:r>
          </w:p>
        </w:tc>
        <w:tc>
          <w:tcPr>
            <w:tcW w:w="1404" w:type="dxa"/>
            <w:vAlign w:val="center"/>
          </w:tcPr>
          <w:p w14:paraId="499AFE21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一般</w:t>
            </w:r>
          </w:p>
        </w:tc>
        <w:tc>
          <w:tcPr>
            <w:tcW w:w="1404" w:type="dxa"/>
            <w:vAlign w:val="center"/>
          </w:tcPr>
          <w:p w14:paraId="5A140131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内部公开</w:t>
            </w:r>
          </w:p>
        </w:tc>
        <w:tc>
          <w:tcPr>
            <w:tcW w:w="1404" w:type="dxa"/>
            <w:shd w:val="clear" w:color="auto" w:fill="A6A6A6"/>
            <w:vAlign w:val="center"/>
          </w:tcPr>
          <w:p w14:paraId="4C7EA066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秘密</w:t>
            </w:r>
          </w:p>
        </w:tc>
        <w:tc>
          <w:tcPr>
            <w:tcW w:w="1405" w:type="dxa"/>
            <w:vAlign w:val="center"/>
          </w:tcPr>
          <w:p w14:paraId="30DC3C9A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机密</w:t>
            </w:r>
          </w:p>
        </w:tc>
      </w:tr>
    </w:tbl>
    <w:p w14:paraId="02E864DD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2872210B"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 w14:paraId="454C0BEE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11729416">
      <w:pPr>
        <w:pStyle w:val="2"/>
        <w:numPr>
          <w:ilvl w:val="0"/>
          <w:numId w:val="1"/>
        </w:numPr>
        <w:ind w:left="357" w:hanging="357"/>
        <w:sectPr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 w14:paraId="73A7D5AC">
      <w:pPr>
        <w:rPr>
          <w:sz w:val="28"/>
          <w:szCs w:val="28"/>
        </w:rPr>
      </w:pPr>
      <w:r>
        <w:rPr>
          <w:sz w:val="28"/>
          <w:szCs w:val="28"/>
        </w:rPr>
        <w:t>修订记录</w:t>
      </w:r>
    </w:p>
    <w:tbl>
      <w:tblPr>
        <w:tblStyle w:val="1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127"/>
        <w:gridCol w:w="1275"/>
        <w:gridCol w:w="1560"/>
        <w:gridCol w:w="1751"/>
      </w:tblGrid>
      <w:tr w14:paraId="4EB1D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0E0E0"/>
          </w:tcPr>
          <w:p w14:paraId="08BD24D8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2127" w:type="dxa"/>
            <w:shd w:val="clear" w:color="auto" w:fill="E0E0E0"/>
          </w:tcPr>
          <w:p w14:paraId="5B3B2199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</w:t>
            </w:r>
          </w:p>
        </w:tc>
        <w:tc>
          <w:tcPr>
            <w:tcW w:w="1275" w:type="dxa"/>
            <w:shd w:val="clear" w:color="auto" w:fill="E0E0E0"/>
          </w:tcPr>
          <w:p w14:paraId="0684CE17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版本</w:t>
            </w:r>
          </w:p>
        </w:tc>
        <w:tc>
          <w:tcPr>
            <w:tcW w:w="1560" w:type="dxa"/>
            <w:shd w:val="clear" w:color="auto" w:fill="E0E0E0"/>
          </w:tcPr>
          <w:p w14:paraId="2FE30439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修改原因</w:t>
            </w:r>
          </w:p>
        </w:tc>
        <w:tc>
          <w:tcPr>
            <w:tcW w:w="1751" w:type="dxa"/>
            <w:shd w:val="clear" w:color="auto" w:fill="E0E0E0"/>
          </w:tcPr>
          <w:p w14:paraId="3325DD91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主要修改内容</w:t>
            </w:r>
          </w:p>
        </w:tc>
      </w:tr>
      <w:tr w14:paraId="10F86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184CA579">
            <w:pPr>
              <w:pStyle w:val="14"/>
              <w:spacing w:before="20" w:after="20" w:line="360" w:lineRule="auto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5.08.03</w:t>
            </w:r>
          </w:p>
        </w:tc>
        <w:tc>
          <w:tcPr>
            <w:tcW w:w="2127" w:type="dxa"/>
            <w:shd w:val="clear" w:color="auto" w:fill="auto"/>
          </w:tcPr>
          <w:p w14:paraId="4F74D3E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组</w:t>
            </w:r>
          </w:p>
        </w:tc>
        <w:tc>
          <w:tcPr>
            <w:tcW w:w="1275" w:type="dxa"/>
            <w:shd w:val="clear" w:color="auto" w:fill="auto"/>
          </w:tcPr>
          <w:p w14:paraId="4FF2CAB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V1.0</w:t>
            </w:r>
          </w:p>
        </w:tc>
        <w:tc>
          <w:tcPr>
            <w:tcW w:w="1560" w:type="dxa"/>
            <w:shd w:val="clear" w:color="auto" w:fill="auto"/>
          </w:tcPr>
          <w:p w14:paraId="3057C15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初稿</w:t>
            </w:r>
          </w:p>
        </w:tc>
        <w:tc>
          <w:tcPr>
            <w:tcW w:w="1751" w:type="dxa"/>
            <w:shd w:val="clear" w:color="auto" w:fill="auto"/>
          </w:tcPr>
          <w:p w14:paraId="31A1384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初稿</w:t>
            </w:r>
          </w:p>
        </w:tc>
      </w:tr>
      <w:tr w14:paraId="06E6A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248A38E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5B6B4E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D464BA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CD1CBD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1785E67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6B21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58ACBB3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5981E4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7CF559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812CDE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2473020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4B319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9E6567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48F12E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FD415E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658584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563F086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462AF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48576E7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5D36502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7ACEDF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031C66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6094C3D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AEED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971AA1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89667A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D12655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5C6193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3BC11FD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20808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379DD44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3CE573D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99A0D5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5FDD33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659BAE7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4D669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DA3D93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1D034A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B8083E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C51B06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34E8433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7A6F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32FDAC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0DE8100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ABAD3C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C5C265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4638447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4080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5B4596D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7B970B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026849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0BA23E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1FFEFBA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F641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13CAFF5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DB3863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B321B9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C586D1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175E801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F1C0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5DA026D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4002C7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5B71AA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C85C2A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02890F4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317A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50554CB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36D1B9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BC752A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8BACDD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6178D1D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3F13B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6CE1FFD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3520E6F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A4AA34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C6677B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720B85A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</w:tbl>
    <w:p w14:paraId="71789DEA"/>
    <w:p w14:paraId="3B4EFDF6">
      <w:pPr>
        <w:widowControl/>
        <w:jc w:val="left"/>
        <w:rPr>
          <w:b/>
          <w:bCs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br w:type="page"/>
      </w:r>
    </w:p>
    <w:sdt>
      <w:sdtPr>
        <w:rPr>
          <w:rFonts w:ascii="宋体" w:hAnsi="宋体"/>
          <w:sz w:val="28"/>
          <w:szCs w:val="32"/>
        </w:rPr>
        <w:id w:val="147470690"/>
        <w15:color w:val="DBDBDB"/>
        <w:docPartObj>
          <w:docPartGallery w:val="Table of Contents"/>
          <w:docPartUnique/>
        </w:docPartObj>
      </w:sdtPr>
      <w:sdtEndPr>
        <w:rPr>
          <w:rFonts w:ascii="宋体" w:hAnsi="宋体"/>
          <w:sz w:val="28"/>
          <w:szCs w:val="32"/>
        </w:rPr>
      </w:sdtEndPr>
      <w:sdtContent>
        <w:p w14:paraId="6071AC31">
          <w:pPr>
            <w:jc w:val="center"/>
            <w:rPr>
              <w:sz w:val="36"/>
              <w:szCs w:val="32"/>
            </w:rPr>
          </w:pPr>
          <w:r>
            <w:rPr>
              <w:rFonts w:ascii="宋体" w:hAnsi="宋体"/>
              <w:sz w:val="28"/>
              <w:szCs w:val="32"/>
            </w:rPr>
            <w:t>目</w:t>
          </w:r>
          <w:r>
            <w:rPr>
              <w:rFonts w:hint="eastAsia" w:ascii="宋体" w:hAnsi="宋体"/>
              <w:sz w:val="28"/>
              <w:szCs w:val="32"/>
            </w:rPr>
            <w:t xml:space="preserve"> </w:t>
          </w:r>
          <w:r>
            <w:rPr>
              <w:rFonts w:ascii="宋体" w:hAnsi="宋体"/>
              <w:sz w:val="28"/>
              <w:szCs w:val="32"/>
            </w:rPr>
            <w:t>录</w:t>
          </w:r>
        </w:p>
        <w:p w14:paraId="272664D7">
          <w:pPr>
            <w:pStyle w:val="12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_Toc163 </w:instrText>
          </w:r>
          <w: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1. </w:t>
          </w:r>
          <w:r>
            <w:rPr>
              <w:rFonts w:hint="eastAsia" w:ascii="仿宋" w:hAnsi="仿宋" w:eastAsia="仿宋"/>
              <w:szCs w:val="24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_Toc163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0B4C515A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_Toc21792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2. </w:t>
          </w:r>
          <w:r>
            <w:rPr>
              <w:rFonts w:ascii="仿宋" w:hAnsi="仿宋" w:eastAsia="仿宋"/>
              <w:szCs w:val="24"/>
            </w:rPr>
            <w:t>用户登录</w:t>
          </w:r>
          <w:r>
            <w:tab/>
          </w:r>
          <w:r>
            <w:fldChar w:fldCharType="begin"/>
          </w:r>
          <w:r>
            <w:instrText xml:space="preserve"> PAGEREF _Toc21792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40D7223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_Toc14896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 </w:t>
          </w:r>
          <w:r>
            <w:rPr>
              <w:rFonts w:hint="eastAsia" w:ascii="仿宋" w:hAnsi="仿宋" w:eastAsia="仿宋"/>
              <w:szCs w:val="24"/>
              <w:lang w:val="en-US" w:eastAsia="zh-CN"/>
            </w:rPr>
            <w:t>投标客户端、CA驱动下载</w:t>
          </w:r>
          <w:r>
            <w:tab/>
          </w:r>
          <w:r>
            <w:fldChar w:fldCharType="begin"/>
          </w:r>
          <w:r>
            <w:instrText xml:space="preserve"> PAGEREF _Toc14896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6DE9DF0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_Toc20248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 </w:t>
          </w:r>
          <w:r>
            <w:rPr>
              <w:rFonts w:hint="eastAsia" w:ascii="仿宋" w:hAnsi="仿宋" w:eastAsia="仿宋"/>
              <w:szCs w:val="24"/>
            </w:rPr>
            <w:t>招标项目</w:t>
          </w:r>
          <w:r>
            <w:tab/>
          </w:r>
          <w:r>
            <w:fldChar w:fldCharType="begin"/>
          </w:r>
          <w:r>
            <w:instrText xml:space="preserve"> PAGEREF _Toc20248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22FF00C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_Toc16642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 </w:t>
          </w:r>
          <w:r>
            <w:rPr>
              <w:rFonts w:hint="eastAsia" w:ascii="仿宋" w:hAnsi="仿宋" w:eastAsia="仿宋"/>
              <w:szCs w:val="24"/>
            </w:rPr>
            <w:t>投标人报名与邀请回执</w:t>
          </w:r>
          <w:r>
            <w:tab/>
          </w:r>
          <w:r>
            <w:fldChar w:fldCharType="begin"/>
          </w:r>
          <w:r>
            <w:instrText xml:space="preserve"> PAGEREF _Toc16642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A5704D4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_Toc8852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4.1.1 </w:t>
          </w:r>
          <w:r>
            <w:rPr>
              <w:rFonts w:hint="eastAsia" w:ascii="仿宋" w:hAnsi="仿宋" w:eastAsia="仿宋"/>
              <w:szCs w:val="24"/>
            </w:rPr>
            <w:t>投标人报名</w:t>
          </w:r>
          <w:r>
            <w:tab/>
          </w:r>
          <w:r>
            <w:fldChar w:fldCharType="begin"/>
          </w:r>
          <w:r>
            <w:instrText xml:space="preserve"> PAGEREF _Toc8852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49D0C6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_Toc15458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4.1.2 </w:t>
          </w:r>
          <w:r>
            <w:rPr>
              <w:rFonts w:hint="eastAsia" w:ascii="仿宋" w:hAnsi="仿宋" w:eastAsia="仿宋"/>
              <w:szCs w:val="24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_Toc15458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E9C3AA9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_Toc17944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4.2 </w:t>
          </w:r>
          <w:r>
            <w:rPr>
              <w:rFonts w:hint="eastAsia" w:ascii="仿宋" w:hAnsi="仿宋" w:eastAsia="仿宋"/>
              <w:szCs w:val="24"/>
            </w:rPr>
            <w:t>购买文件</w:t>
          </w:r>
          <w:r>
            <w:tab/>
          </w:r>
          <w:r>
            <w:fldChar w:fldCharType="begin"/>
          </w:r>
          <w:r>
            <w:instrText xml:space="preserve"> PAGEREF _Toc17944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03AFB59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_Toc11139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4.2.1 </w:t>
          </w:r>
          <w:r>
            <w:rPr>
              <w:rFonts w:hint="eastAsia" w:ascii="仿宋" w:hAnsi="仿宋" w:eastAsia="仿宋"/>
              <w:szCs w:val="24"/>
            </w:rPr>
            <w:t>购买预审文件</w:t>
          </w:r>
          <w:r>
            <w:tab/>
          </w:r>
          <w:r>
            <w:fldChar w:fldCharType="begin"/>
          </w:r>
          <w:r>
            <w:instrText xml:space="preserve"> PAGEREF _Toc11139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3D5D6A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_Toc7117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4.2.2 </w:t>
          </w:r>
          <w:r>
            <w:rPr>
              <w:rFonts w:hint="eastAsia" w:ascii="仿宋" w:hAnsi="仿宋" w:eastAsia="仿宋"/>
              <w:szCs w:val="24"/>
            </w:rPr>
            <w:t>下载文件</w:t>
          </w:r>
          <w:r>
            <w:tab/>
          </w:r>
          <w:r>
            <w:fldChar w:fldCharType="begin"/>
          </w:r>
          <w:r>
            <w:instrText xml:space="preserve"> PAGEREF _Toc7117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4A850AD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_Toc12478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4.2.3 </w:t>
          </w:r>
          <w:r>
            <w:rPr>
              <w:rFonts w:hint="eastAsia" w:ascii="仿宋" w:hAnsi="仿宋" w:eastAsia="仿宋"/>
              <w:szCs w:val="24"/>
              <w:lang w:val="en-US" w:eastAsia="zh-CN"/>
            </w:rPr>
            <w:t>投标客户端操作</w:t>
          </w:r>
          <w:r>
            <w:tab/>
          </w:r>
          <w:r>
            <w:fldChar w:fldCharType="begin"/>
          </w:r>
          <w:r>
            <w:instrText xml:space="preserve"> PAGEREF _Toc12478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9C1408E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_Toc10799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1"/>
            </w:rPr>
            <w:t xml:space="preserve">4.3 </w:t>
          </w:r>
          <w:r>
            <w:rPr>
              <w:rFonts w:hint="eastAsia" w:ascii="仿宋" w:hAnsi="仿宋" w:eastAsia="仿宋"/>
              <w:szCs w:val="24"/>
            </w:rPr>
            <w:t>澄清管理</w:t>
          </w:r>
          <w:r>
            <w:tab/>
          </w:r>
          <w:r>
            <w:fldChar w:fldCharType="begin"/>
          </w:r>
          <w:r>
            <w:instrText xml:space="preserve"> PAGEREF _Toc10799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F3C075A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_Toc6143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4.3.1 </w:t>
          </w:r>
          <w:r>
            <w:rPr>
              <w:rFonts w:hint="eastAsia" w:ascii="仿宋" w:hAnsi="仿宋" w:eastAsia="仿宋"/>
              <w:szCs w:val="24"/>
            </w:rPr>
            <w:t>招标/采购文件澄清</w:t>
          </w:r>
          <w:r>
            <w:tab/>
          </w:r>
          <w:r>
            <w:fldChar w:fldCharType="begin"/>
          </w:r>
          <w:r>
            <w:instrText xml:space="preserve"> PAGEREF _Toc6143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6447EC3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_Toc30546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 </w:t>
          </w:r>
          <w:r>
            <w:rPr>
              <w:rFonts w:hint="eastAsia" w:ascii="仿宋" w:hAnsi="仿宋" w:eastAsia="仿宋"/>
              <w:szCs w:val="24"/>
            </w:rPr>
            <w:t>投标文件管理</w:t>
          </w:r>
          <w:r>
            <w:tab/>
          </w:r>
          <w:r>
            <w:fldChar w:fldCharType="begin"/>
          </w:r>
          <w:r>
            <w:instrText xml:space="preserve"> PAGEREF _Toc30546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05F184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_Toc31102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4.4.1 </w:t>
          </w:r>
          <w:r>
            <w:rPr>
              <w:rFonts w:hint="eastAsia" w:ascii="仿宋" w:hAnsi="仿宋" w:eastAsia="仿宋"/>
              <w:szCs w:val="24"/>
            </w:rPr>
            <w:t>客户端编制投标文件</w:t>
          </w:r>
          <w:r>
            <w:tab/>
          </w:r>
          <w:r>
            <w:fldChar w:fldCharType="begin"/>
          </w:r>
          <w:r>
            <w:instrText xml:space="preserve"> PAGEREF _Toc31102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24C9BC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_Toc830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4.4.2 </w:t>
          </w:r>
          <w:r>
            <w:rPr>
              <w:rFonts w:hint="eastAsia" w:ascii="仿宋" w:hAnsi="仿宋" w:eastAsia="仿宋"/>
              <w:szCs w:val="24"/>
            </w:rPr>
            <w:t>绑定CA证书</w:t>
          </w:r>
          <w:r>
            <w:tab/>
          </w:r>
          <w:r>
            <w:fldChar w:fldCharType="begin"/>
          </w:r>
          <w:r>
            <w:instrText xml:space="preserve"> PAGEREF _Toc830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9A4AAF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_Toc8996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4.4.3 </w:t>
          </w:r>
          <w:r>
            <w:rPr>
              <w:rFonts w:hint="eastAsia" w:ascii="仿宋" w:hAnsi="仿宋" w:eastAsia="仿宋"/>
              <w:szCs w:val="24"/>
            </w:rPr>
            <w:t>递交投标文件</w:t>
          </w:r>
          <w:r>
            <w:tab/>
          </w:r>
          <w:r>
            <w:fldChar w:fldCharType="begin"/>
          </w:r>
          <w:r>
            <w:instrText xml:space="preserve"> PAGEREF _Toc8996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7731818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_Toc556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 </w:t>
          </w:r>
          <w:r>
            <w:rPr>
              <w:rFonts w:hint="eastAsia" w:ascii="仿宋" w:hAnsi="仿宋" w:eastAsia="仿宋"/>
              <w:szCs w:val="24"/>
            </w:rPr>
            <w:t>参与线上开标</w:t>
          </w:r>
          <w:r>
            <w:tab/>
          </w:r>
          <w:r>
            <w:fldChar w:fldCharType="begin"/>
          </w:r>
          <w:r>
            <w:instrText xml:space="preserve"> PAGEREF _Toc556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D36549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_Toc1628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4.5.1 </w:t>
          </w:r>
          <w:r>
            <w:rPr>
              <w:rFonts w:hint="eastAsia" w:ascii="仿宋" w:hAnsi="仿宋" w:eastAsia="仿宋"/>
              <w:szCs w:val="24"/>
            </w:rPr>
            <w:t>签到</w:t>
          </w:r>
          <w:r>
            <w:tab/>
          </w:r>
          <w:r>
            <w:fldChar w:fldCharType="begin"/>
          </w:r>
          <w:r>
            <w:instrText xml:space="preserve"> PAGEREF _Toc1628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9F824E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_Toc15785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4.5.2 </w:t>
          </w:r>
          <w:r>
            <w:rPr>
              <w:rFonts w:hint="eastAsia" w:ascii="仿宋" w:hAnsi="仿宋" w:eastAsia="仿宋"/>
              <w:szCs w:val="24"/>
            </w:rPr>
            <w:t>开标异议</w:t>
          </w:r>
          <w:r>
            <w:tab/>
          </w:r>
          <w:r>
            <w:fldChar w:fldCharType="begin"/>
          </w:r>
          <w:r>
            <w:instrText xml:space="preserve"> PAGEREF _Toc15785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4067D4E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_Toc5400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4.5.3 </w:t>
          </w:r>
          <w:r>
            <w:rPr>
              <w:rFonts w:hint="eastAsia" w:ascii="仿宋" w:hAnsi="仿宋" w:eastAsia="仿宋"/>
              <w:szCs w:val="24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_Toc5400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ABB42B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_Toc31732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4.5.4 </w:t>
          </w:r>
          <w:r>
            <w:rPr>
              <w:rFonts w:hint="eastAsia" w:ascii="仿宋" w:hAnsi="仿宋" w:eastAsia="仿宋"/>
              <w:szCs w:val="24"/>
            </w:rPr>
            <w:t>签名</w:t>
          </w:r>
          <w:r>
            <w:tab/>
          </w:r>
          <w:r>
            <w:fldChar w:fldCharType="begin"/>
          </w:r>
          <w:r>
            <w:instrText xml:space="preserve"> PAGEREF _Toc31732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FEB9EA0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_Toc4180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4.6 </w:t>
          </w:r>
          <w:r>
            <w:rPr>
              <w:rFonts w:hint="eastAsia" w:ascii="仿宋" w:hAnsi="仿宋" w:eastAsia="仿宋"/>
              <w:szCs w:val="24"/>
            </w:rPr>
            <w:t>中标候选公示查看</w:t>
          </w:r>
          <w:r>
            <w:tab/>
          </w:r>
          <w:r>
            <w:fldChar w:fldCharType="begin"/>
          </w:r>
          <w:r>
            <w:instrText xml:space="preserve"> PAGEREF _Toc4180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5B9EEA1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_Toc1800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4.7 </w:t>
          </w:r>
          <w:r>
            <w:rPr>
              <w:rFonts w:hint="eastAsia" w:ascii="仿宋" w:hAnsi="仿宋" w:eastAsia="仿宋"/>
              <w:szCs w:val="24"/>
            </w:rPr>
            <w:t>中标结果公告查看</w:t>
          </w:r>
          <w:r>
            <w:tab/>
          </w:r>
          <w:r>
            <w:fldChar w:fldCharType="begin"/>
          </w:r>
          <w:r>
            <w:instrText xml:space="preserve"> PAGEREF _Toc1800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8BF10E4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_Toc7007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4.8 </w:t>
          </w:r>
          <w:r>
            <w:rPr>
              <w:rFonts w:hint="eastAsia" w:ascii="仿宋" w:hAnsi="仿宋" w:eastAsia="仿宋"/>
              <w:szCs w:val="24"/>
            </w:rPr>
            <w:t>中标通知书查看</w:t>
          </w:r>
          <w:r>
            <w:tab/>
          </w:r>
          <w:r>
            <w:fldChar w:fldCharType="begin"/>
          </w:r>
          <w:r>
            <w:instrText xml:space="preserve"> PAGEREF _Toc7007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ACD14F2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_Toc31024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 </w:t>
          </w:r>
          <w:r>
            <w:rPr>
              <w:rFonts w:hint="eastAsia" w:ascii="仿宋" w:hAnsi="仿宋" w:eastAsia="仿宋"/>
              <w:szCs w:val="24"/>
            </w:rPr>
            <w:t>企业采购项目</w:t>
          </w:r>
          <w:r>
            <w:tab/>
          </w:r>
          <w:r>
            <w:fldChar w:fldCharType="begin"/>
          </w:r>
          <w:r>
            <w:instrText xml:space="preserve"> PAGEREF _Toc31024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423D6D4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_Toc17068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5.1 </w:t>
          </w:r>
          <w:r>
            <w:rPr>
              <w:rFonts w:hint="eastAsia" w:ascii="仿宋" w:hAnsi="仿宋" w:eastAsia="仿宋"/>
              <w:szCs w:val="24"/>
            </w:rPr>
            <w:t>竞争性谈判项目</w:t>
          </w:r>
          <w:r>
            <w:tab/>
          </w:r>
          <w:r>
            <w:fldChar w:fldCharType="begin"/>
          </w:r>
          <w:r>
            <w:instrText xml:space="preserve"> PAGEREF _Toc17068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7E06808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_Toc25376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5.1.1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_Toc25376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DD17A4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_Toc23039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5.1.2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_Toc23039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13636B9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_Toc16352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5.1.3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_Toc16352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FAF805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_Toc30002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5.1.4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_Toc30002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81E7AFD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_Toc3345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5.2 </w:t>
          </w:r>
          <w:r>
            <w:rPr>
              <w:rFonts w:hint="eastAsia" w:ascii="仿宋" w:hAnsi="仿宋" w:eastAsia="仿宋"/>
              <w:szCs w:val="24"/>
            </w:rPr>
            <w:t>竞争性磋商</w:t>
          </w:r>
          <w:r>
            <w:tab/>
          </w:r>
          <w:r>
            <w:fldChar w:fldCharType="begin"/>
          </w:r>
          <w:r>
            <w:instrText xml:space="preserve"> PAGEREF _Toc3345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CA94CDD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_Toc6114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5.2.1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_Toc6114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DDD68B7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_Toc21075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5.2.2 </w:t>
          </w:r>
          <w:r>
            <w:rPr>
              <w:rFonts w:hint="eastAsia" w:ascii="仿宋" w:hAnsi="仿宋" w:eastAsia="仿宋"/>
              <w:bCs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_Toc21075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3CC852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_Toc23493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5.2.3 </w:t>
          </w:r>
          <w:r>
            <w:rPr>
              <w:rFonts w:hint="eastAsia" w:ascii="仿宋" w:hAnsi="仿宋" w:eastAsia="仿宋"/>
              <w:bCs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_Toc23493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707A29B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_Toc30928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5.3 </w:t>
          </w:r>
          <w:r>
            <w:rPr>
              <w:rFonts w:hint="eastAsia" w:ascii="仿宋" w:hAnsi="仿宋" w:eastAsia="仿宋"/>
              <w:bCs/>
              <w:szCs w:val="24"/>
            </w:rPr>
            <w:t>询比价</w:t>
          </w:r>
          <w:r>
            <w:tab/>
          </w:r>
          <w:r>
            <w:fldChar w:fldCharType="begin"/>
          </w:r>
          <w:r>
            <w:instrText xml:space="preserve"> PAGEREF _Toc30928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0099B0C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_Toc2683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5.3.1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_Toc2683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B3EB8C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_Toc7231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5.3.2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_Toc7231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46BCA12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_Toc20246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5.3.3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_Toc20246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6E4796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_Toc2264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5.3.4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_Toc2264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6742759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_Toc1197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5.4 </w:t>
          </w:r>
          <w:r>
            <w:rPr>
              <w:rFonts w:hint="eastAsia" w:ascii="仿宋" w:hAnsi="仿宋" w:eastAsia="仿宋"/>
              <w:szCs w:val="24"/>
            </w:rPr>
            <w:t>竞价</w:t>
          </w:r>
          <w:r>
            <w:tab/>
          </w:r>
          <w:r>
            <w:fldChar w:fldCharType="begin"/>
          </w:r>
          <w:r>
            <w:instrText xml:space="preserve"> PAGEREF _Toc1197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55378F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_Toc30225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5.4.1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_Toc30225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303EEE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_Toc4784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5.4.2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_Toc4784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C8AFD5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_Toc19485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5.4.3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_Toc19485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155389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_Toc3304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5.4.4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_Toc3304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098818B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_Toc29314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5.5 </w:t>
          </w:r>
          <w:r>
            <w:rPr>
              <w:rFonts w:hint="eastAsia" w:ascii="仿宋" w:hAnsi="仿宋" w:eastAsia="仿宋"/>
              <w:szCs w:val="24"/>
            </w:rPr>
            <w:t>单一来源</w:t>
          </w:r>
          <w:r>
            <w:tab/>
          </w:r>
          <w:r>
            <w:fldChar w:fldCharType="begin"/>
          </w:r>
          <w:r>
            <w:instrText xml:space="preserve"> PAGEREF _Toc29314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777F976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_Toc15414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5.5.1 </w:t>
          </w:r>
          <w:r>
            <w:rPr>
              <w:rFonts w:hint="eastAsia" w:ascii="仿宋" w:hAnsi="仿宋" w:eastAsia="仿宋"/>
              <w:szCs w:val="24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_Toc15414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4E93404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_Toc22594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5.5.2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_Toc22594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CC6269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_Toc7829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5.5.3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_Toc7829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F3D7CF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_Toc10859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5.5.4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_Toc10859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9ECF7A9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_Toc8172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 </w:t>
          </w:r>
          <w:r>
            <w:rPr>
              <w:rFonts w:hint="eastAsia" w:ascii="仿宋" w:hAnsi="仿宋" w:eastAsia="仿宋"/>
              <w:szCs w:val="24"/>
            </w:rPr>
            <w:t>政府采购项目</w:t>
          </w:r>
          <w:r>
            <w:tab/>
          </w:r>
          <w:r>
            <w:fldChar w:fldCharType="begin"/>
          </w:r>
          <w:r>
            <w:instrText xml:space="preserve"> PAGEREF _Toc8172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159ADC0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_Toc5131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_Toc5131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54EFB72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_Toc6836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_Toc6836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6834A9E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_Toc31450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6.3 </w:t>
          </w:r>
          <w:r>
            <w:rPr>
              <w:rFonts w:hint="eastAsia" w:ascii="仿宋" w:hAnsi="仿宋" w:eastAsia="仿宋"/>
              <w:szCs w:val="24"/>
            </w:rPr>
            <w:t>递交响应文件</w:t>
          </w:r>
          <w:r>
            <w:tab/>
          </w:r>
          <w:r>
            <w:fldChar w:fldCharType="begin"/>
          </w:r>
          <w:r>
            <w:instrText xml:space="preserve"> PAGEREF _Toc31450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51CF22D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_Toc26233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6.4 </w:t>
          </w:r>
          <w:r>
            <w:rPr>
              <w:rFonts w:hint="eastAsia" w:ascii="仿宋" w:hAnsi="仿宋" w:eastAsia="仿宋"/>
              <w:szCs w:val="24"/>
            </w:rPr>
            <w:t>开启</w:t>
          </w:r>
          <w:r>
            <w:tab/>
          </w:r>
          <w:r>
            <w:fldChar w:fldCharType="begin"/>
          </w:r>
          <w:r>
            <w:instrText xml:space="preserve"> PAGEREF _Toc26233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C6837A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_Toc1557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6.5 </w:t>
          </w:r>
          <w:r>
            <w:rPr>
              <w:rFonts w:hint="eastAsia" w:ascii="仿宋" w:hAnsi="仿宋" w:eastAsia="仿宋"/>
              <w:szCs w:val="24"/>
            </w:rPr>
            <w:t>成交候选公示查看</w:t>
          </w:r>
          <w:r>
            <w:tab/>
          </w:r>
          <w:r>
            <w:fldChar w:fldCharType="begin"/>
          </w:r>
          <w:r>
            <w:instrText xml:space="preserve"> PAGEREF _Toc1557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ECE32FA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_Toc11203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6.6 </w:t>
          </w:r>
          <w:r>
            <w:rPr>
              <w:rFonts w:hint="eastAsia" w:ascii="仿宋" w:hAnsi="仿宋" w:eastAsia="仿宋"/>
              <w:szCs w:val="24"/>
            </w:rPr>
            <w:t>成交结果公告查看</w:t>
          </w:r>
          <w:r>
            <w:tab/>
          </w:r>
          <w:r>
            <w:fldChar w:fldCharType="begin"/>
          </w:r>
          <w:r>
            <w:instrText xml:space="preserve"> PAGEREF _Toc11203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77CE119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_Toc26981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6.7 </w:t>
          </w:r>
          <w:r>
            <w:rPr>
              <w:rFonts w:hint="eastAsia" w:ascii="仿宋" w:hAnsi="仿宋" w:eastAsia="仿宋"/>
              <w:bCs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_Toc26981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70525AA">
          <w:r>
            <w:rPr>
              <w:rFonts w:eastAsia="仿宋"/>
            </w:rPr>
            <w:fldChar w:fldCharType="end"/>
          </w:r>
        </w:p>
      </w:sdtContent>
    </w:sdt>
    <w:p w14:paraId="4B82DDC6">
      <w:pPr>
        <w:pStyle w:val="2"/>
        <w:numPr>
          <w:ilvl w:val="0"/>
          <w:numId w:val="1"/>
        </w:numPr>
        <w:ind w:left="357" w:hanging="357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237D945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1" w:name="_Toc163"/>
      <w:r>
        <w:rPr>
          <w:rFonts w:hint="eastAsia" w:ascii="仿宋" w:hAnsi="仿宋" w:eastAsia="仿宋"/>
          <w:sz w:val="24"/>
          <w:szCs w:val="24"/>
        </w:rPr>
        <w:t>注册</w:t>
      </w:r>
      <w:bookmarkEnd w:id="1"/>
    </w:p>
    <w:p w14:paraId="0396DECC">
      <w:r>
        <w:drawing>
          <wp:inline distT="0" distB="0" distL="114300" distR="114300">
            <wp:extent cx="5270500" cy="2923540"/>
            <wp:effectExtent l="0" t="0" r="6350" b="1016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DEA76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（图1-1）</w:t>
      </w:r>
    </w:p>
    <w:p w14:paraId="1F2D05D3">
      <w:pPr>
        <w:spacing w:line="360" w:lineRule="auto"/>
        <w:rPr>
          <w:rFonts w:ascii="Calibri" w:hAnsi="Calibri" w:eastAsia="仿宋" w:cs="黑体"/>
          <w:b/>
          <w:bCs/>
          <w:sz w:val="21"/>
        </w:rPr>
      </w:pPr>
      <w:r>
        <w:rPr>
          <w:rFonts w:hint="eastAsia" w:ascii="Calibri" w:hAnsi="Calibri" w:eastAsia="仿宋" w:cs="黑体"/>
          <w:b/>
          <w:bCs/>
          <w:sz w:val="21"/>
        </w:rPr>
        <w:t>操作说明：</w:t>
      </w:r>
    </w:p>
    <w:p w14:paraId="1D451F89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A：选择密码登录方式，输入用户名和密码</w:t>
      </w:r>
    </w:p>
    <w:p w14:paraId="7FD780DD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B：选择CA登录方式，前提条件必须插入和绑定CA</w:t>
      </w:r>
    </w:p>
    <w:p w14:paraId="0977A409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C：选择短信登陆方式，输入手机号码、获取验证码登录</w:t>
      </w:r>
    </w:p>
    <w:p w14:paraId="4DDCA996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D：根据不同的登录方式，输入用户名、手机号码、邮箱</w:t>
      </w:r>
    </w:p>
    <w:p w14:paraId="2562C1CD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E：根据不同的登录方式，输入密码</w:t>
      </w:r>
    </w:p>
    <w:p w14:paraId="58B194F0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F：点击【登录】可进入系统</w:t>
      </w:r>
    </w:p>
    <w:p w14:paraId="2FAB8F42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G：点击【忘记密码】进入密码找回页面，可根据手机、邮箱、申诉找回，如图（1-2）</w:t>
      </w:r>
    </w:p>
    <w:p w14:paraId="1B3C71CA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H：点击【注册】进入用户注册页面，目前仅为投标人注册，见</w:t>
      </w:r>
      <w:r>
        <w:rPr>
          <w:rFonts w:hint="eastAsia" w:ascii="Calibri" w:hAnsi="Calibri" w:eastAsia="仿宋" w:cs="黑体"/>
          <w:b/>
          <w:i/>
          <w:sz w:val="21"/>
          <w:szCs w:val="21"/>
        </w:rPr>
        <w:t>投标人分册</w:t>
      </w:r>
      <w:r>
        <w:rPr>
          <w:rFonts w:hint="eastAsia" w:ascii="仿宋" w:hAnsi="仿宋" w:eastAsia="仿宋"/>
          <w:sz w:val="28"/>
          <w:szCs w:val="24"/>
        </w:rPr>
        <w:br w:type="textWrapping"/>
      </w:r>
      <w:r>
        <w:drawing>
          <wp:inline distT="0" distB="0" distL="114300" distR="114300">
            <wp:extent cx="4779645" cy="1978660"/>
            <wp:effectExtent l="0" t="0" r="1905" b="25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3369" cy="199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CF9E4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</w:t>
      </w:r>
      <w:r>
        <w:rPr>
          <w:b/>
          <w:sz w:val="21"/>
          <w:szCs w:val="21"/>
        </w:rPr>
        <w:t>2</w:t>
      </w:r>
      <w:r>
        <w:rPr>
          <w:rFonts w:hint="eastAsia"/>
          <w:b/>
          <w:sz w:val="21"/>
          <w:szCs w:val="21"/>
        </w:rPr>
        <w:t>）</w:t>
      </w:r>
    </w:p>
    <w:p w14:paraId="2DF11E46">
      <w:pPr>
        <w:spacing w:line="360" w:lineRule="auto"/>
        <w:rPr>
          <w:rFonts w:ascii="Calibri" w:hAnsi="Calibri" w:eastAsia="仿宋" w:cs="黑体"/>
          <w:b/>
          <w:bCs/>
          <w:sz w:val="21"/>
        </w:rPr>
      </w:pPr>
      <w:r>
        <w:rPr>
          <w:rFonts w:hint="eastAsia" w:ascii="Calibri" w:hAnsi="Calibri" w:eastAsia="仿宋" w:cs="黑体"/>
          <w:b/>
          <w:bCs/>
          <w:sz w:val="21"/>
        </w:rPr>
        <w:t>操作说明：</w:t>
      </w:r>
    </w:p>
    <w:p w14:paraId="162328B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A：点击选择不同角色，下方会切换不同角色账户类型的选项，目前系统只支持供应商和专家注册，此操作手册仅为投标人（供应商），专家注册见专家分册</w:t>
      </w:r>
    </w:p>
    <w:p w14:paraId="5DDEB52C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B：选择境内企业，跳转下个页面（图1-3）</w:t>
      </w:r>
    </w:p>
    <w:p w14:paraId="43D94302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C：选择境内机构，跳转下个页面</w:t>
      </w:r>
    </w:p>
    <w:p w14:paraId="00EC7E6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D：选择境外主体，跳转下个页面</w:t>
      </w:r>
    </w:p>
    <w:p w14:paraId="0BB993EE">
      <w:pPr>
        <w:spacing w:line="360" w:lineRule="auto"/>
      </w:pPr>
      <w:r>
        <w:rPr>
          <w:rFonts w:hint="eastAsia" w:ascii="Calibri" w:hAnsi="Calibri" w:eastAsia="仿宋" w:cs="黑体"/>
          <w:sz w:val="21"/>
          <w:szCs w:val="21"/>
        </w:rPr>
        <w:t>E：选择个人，跳转下个页面</w:t>
      </w:r>
      <w:r>
        <w:rPr>
          <w:rFonts w:hint="eastAsia" w:ascii="Calibri" w:hAnsi="Calibri" w:eastAsia="仿宋" w:cs="黑体"/>
          <w:sz w:val="21"/>
          <w:szCs w:val="21"/>
        </w:rPr>
        <w:br w:type="textWrapping"/>
      </w:r>
      <w:r>
        <w:drawing>
          <wp:inline distT="0" distB="0" distL="114300" distR="114300">
            <wp:extent cx="5265420" cy="2171700"/>
            <wp:effectExtent l="0" t="0" r="1143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3E298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</w:t>
      </w:r>
      <w:r>
        <w:rPr>
          <w:b/>
          <w:sz w:val="21"/>
          <w:szCs w:val="21"/>
        </w:rPr>
        <w:t>3</w:t>
      </w:r>
      <w:r>
        <w:rPr>
          <w:rFonts w:hint="eastAsia"/>
          <w:b/>
          <w:sz w:val="21"/>
          <w:szCs w:val="21"/>
        </w:rPr>
        <w:t>）</w:t>
      </w:r>
    </w:p>
    <w:p w14:paraId="696CBD85">
      <w:pPr>
        <w:spacing w:line="360" w:lineRule="auto"/>
        <w:rPr>
          <w:rFonts w:ascii="Calibri" w:hAnsi="Calibri" w:eastAsia="仿宋" w:cs="黑体"/>
          <w:b/>
          <w:bCs/>
          <w:sz w:val="21"/>
          <w:szCs w:val="21"/>
        </w:rPr>
      </w:pPr>
      <w:r>
        <w:rPr>
          <w:rFonts w:hint="eastAsia" w:ascii="Calibri" w:hAnsi="Calibri" w:eastAsia="仿宋" w:cs="黑体"/>
          <w:b/>
          <w:bCs/>
          <w:sz w:val="21"/>
          <w:szCs w:val="21"/>
        </w:rPr>
        <w:t>操作说明：</w:t>
      </w:r>
    </w:p>
    <w:p w14:paraId="0BAF752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A：输入企业名称</w:t>
      </w:r>
    </w:p>
    <w:p w14:paraId="652EA652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B：输入统一社会信用代码</w:t>
      </w:r>
    </w:p>
    <w:p w14:paraId="49AF7E5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C：点击【下一步】，进入基本信息维护页面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（图1-4）</w:t>
      </w:r>
    </w:p>
    <w:p w14:paraId="6C8FA92C">
      <w:pPr>
        <w:spacing w:line="360" w:lineRule="auto"/>
      </w:pPr>
      <w:r>
        <w:drawing>
          <wp:inline distT="0" distB="0" distL="114300" distR="114300">
            <wp:extent cx="4813935" cy="3002280"/>
            <wp:effectExtent l="0" t="0" r="5715" b="762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2371" cy="301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9F2B2">
      <w:pPr>
        <w:spacing w:line="360" w:lineRule="auto"/>
      </w:pPr>
      <w:r>
        <w:drawing>
          <wp:inline distT="0" distB="0" distL="114300" distR="114300">
            <wp:extent cx="5269230" cy="3275330"/>
            <wp:effectExtent l="0" t="0" r="7620" b="127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07E4A">
      <w:pPr>
        <w:spacing w:line="360" w:lineRule="auto"/>
      </w:pPr>
      <w:r>
        <w:drawing>
          <wp:inline distT="0" distB="0" distL="114300" distR="114300">
            <wp:extent cx="5269230" cy="2171065"/>
            <wp:effectExtent l="0" t="0" r="7620" b="635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9BEBD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（图1-4）</w:t>
      </w:r>
    </w:p>
    <w:p w14:paraId="45B7093E">
      <w:pPr>
        <w:spacing w:line="360" w:lineRule="auto"/>
        <w:ind w:firstLine="422" w:firstLineChars="200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操作说明：</w:t>
      </w:r>
    </w:p>
    <w:p w14:paraId="0AD73B0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A：企业名称从上级页面带出，必填项，可修改</w:t>
      </w:r>
    </w:p>
    <w:p w14:paraId="7E00DB6D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B：统一社会信用代码从上级页面带出，必填项，可修改</w:t>
      </w:r>
    </w:p>
    <w:p w14:paraId="01EEDAEA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C：点击弹出采购目录弹窗选择供应商类别如（图1-5），非必填项</w:t>
      </w:r>
    </w:p>
    <w:p w14:paraId="4350EF4A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E：输入法定代表人，必填项</w:t>
      </w:r>
    </w:p>
    <w:p w14:paraId="12F8D12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F：点击弹出下拉框，选择证件类型，单选，必填项</w:t>
      </w:r>
    </w:p>
    <w:p w14:paraId="6E7C01B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G：输入注册资本，必填项</w:t>
      </w:r>
    </w:p>
    <w:p w14:paraId="265B50D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H：点击弹出日历弹窗,选择成立日期，必填项</w:t>
      </w:r>
    </w:p>
    <w:p w14:paraId="1839A70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I：点击弹出日历弹窗,核准日期，必填项</w:t>
      </w:r>
    </w:p>
    <w:p w14:paraId="76C92CE6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J：点击弹出下拉框选择企业类型，单选，必填项</w:t>
      </w:r>
    </w:p>
    <w:p w14:paraId="1ECC7BB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K：输入注册地址，必填项</w:t>
      </w:r>
    </w:p>
    <w:p w14:paraId="25B25D8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L：输入登记机关，必填项</w:t>
      </w:r>
    </w:p>
    <w:p w14:paraId="46BA627A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M：点击弹出下拉菜单选择所属行业，必填项</w:t>
      </w:r>
    </w:p>
    <w:p w14:paraId="7760ADC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N：输入经营范围，必填项</w:t>
      </w:r>
    </w:p>
    <w:p w14:paraId="52F75B6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O：输入详细地址，非必填项</w:t>
      </w:r>
    </w:p>
    <w:p w14:paraId="767A233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P：输入邮政编码，非必填项</w:t>
      </w:r>
    </w:p>
    <w:p w14:paraId="46A58936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Q：点击【文件上传】，上传统一社会信用代码证书，必填项</w:t>
      </w:r>
    </w:p>
    <w:p w14:paraId="578DB841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R：点击【文件上传】，上传法人授权书，必填项</w:t>
      </w:r>
    </w:p>
    <w:p w14:paraId="72E27512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S：点击【文件上传】，上传电子公章，必填项</w:t>
      </w:r>
    </w:p>
    <w:p w14:paraId="74B21D1C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T：点击【文件上传】，上传法人证件扫描件，必填项</w:t>
      </w:r>
    </w:p>
    <w:p w14:paraId="7013B8D3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U：点击【文件上传】，上传公司章程，非必填项</w:t>
      </w:r>
    </w:p>
    <w:p w14:paraId="3FA6680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V：点击【文件上传】，上传企业介绍附件，非必填项</w:t>
      </w:r>
    </w:p>
    <w:p w14:paraId="6DF15AE9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W：点击【提交审批】，供应商注册信息提交至审核人审批，审批通过后，所注册的供应商账号则可以在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（图1-1）</w:t>
      </w:r>
      <w:r>
        <w:rPr>
          <w:rFonts w:hint="eastAsia" w:ascii="Calibri" w:hAnsi="Calibri" w:eastAsia="仿宋" w:cs="黑体"/>
          <w:sz w:val="21"/>
          <w:szCs w:val="21"/>
        </w:rPr>
        <w:t>登录使用。</w:t>
      </w:r>
    </w:p>
    <w:p w14:paraId="5A6C3579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采购目录选择操作：</w:t>
      </w:r>
    </w:p>
    <w:p w14:paraId="5F398757">
      <w:pPr>
        <w:spacing w:line="360" w:lineRule="auto"/>
        <w:ind w:firstLine="480" w:firstLineChars="200"/>
      </w:pPr>
      <w:r>
        <w:drawing>
          <wp:inline distT="0" distB="0" distL="114300" distR="114300">
            <wp:extent cx="5273040" cy="3775075"/>
            <wp:effectExtent l="0" t="0" r="3810" b="15875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7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8E5C4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（图1-5）</w:t>
      </w:r>
    </w:p>
    <w:p w14:paraId="44D331A2">
      <w:pPr>
        <w:spacing w:line="360" w:lineRule="auto"/>
        <w:rPr>
          <w:sz w:val="21"/>
          <w:szCs w:val="21"/>
        </w:rPr>
      </w:pPr>
      <w:r>
        <w:rPr>
          <w:rFonts w:hint="eastAsia" w:eastAsia="仿宋"/>
          <w:b/>
          <w:sz w:val="21"/>
          <w:szCs w:val="21"/>
        </w:rPr>
        <w:t>操作说明</w:t>
      </w:r>
      <w:r>
        <w:rPr>
          <w:rFonts w:hint="eastAsia"/>
          <w:sz w:val="21"/>
          <w:szCs w:val="21"/>
        </w:rPr>
        <w:t>：</w:t>
      </w:r>
    </w:p>
    <w:p w14:paraId="7523E9A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A：查询框，输入采购目录名称或者编码进行快捷查询</w:t>
      </w:r>
    </w:p>
    <w:p w14:paraId="7DC737F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B：选择采购目录，勾选项，支持多选</w:t>
      </w:r>
    </w:p>
    <w:p w14:paraId="5EBA83C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C：点击【确认】，勾选信息带入供应商分类输入框，点击【取消】退出当前弹窗</w:t>
      </w:r>
    </w:p>
    <w:p w14:paraId="345D3D2F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2" w:name="_Toc21792"/>
      <w:r>
        <w:rPr>
          <w:rFonts w:ascii="仿宋" w:hAnsi="仿宋" w:eastAsia="仿宋"/>
          <w:sz w:val="24"/>
          <w:szCs w:val="24"/>
        </w:rPr>
        <w:t>用户登录</w:t>
      </w:r>
      <w:bookmarkEnd w:id="2"/>
    </w:p>
    <w:p w14:paraId="297A37C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输入外: http://supplier.hzjtyjy.com:8080/ebidding/#/ext-login访问，进入如下页面：</w:t>
      </w:r>
    </w:p>
    <w:p w14:paraId="3715B455">
      <w:pPr>
        <w:spacing w:line="360" w:lineRule="auto"/>
        <w:jc w:val="center"/>
        <w:rPr>
          <w:b/>
        </w:rPr>
      </w:pPr>
      <w:r>
        <w:rPr>
          <w:rFonts w:hint="eastAsia"/>
        </w:rPr>
        <w:br w:type="textWrapping"/>
      </w:r>
      <w:r>
        <w:drawing>
          <wp:inline distT="0" distB="0" distL="114300" distR="114300">
            <wp:extent cx="5269230" cy="3055620"/>
            <wp:effectExtent l="0" t="0" r="7620" b="11430"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1"/>
          <w:szCs w:val="21"/>
        </w:rPr>
        <w:t>（图2-1）</w:t>
      </w:r>
    </w:p>
    <w:p w14:paraId="78010525">
      <w:pPr>
        <w:spacing w:line="360" w:lineRule="auto"/>
        <w:jc w:val="left"/>
        <w:rPr>
          <w:b/>
          <w:bCs/>
          <w:sz w:val="21"/>
          <w:szCs w:val="21"/>
        </w:rPr>
      </w:pPr>
      <w:r>
        <w:rPr>
          <w:rFonts w:hint="eastAsia" w:eastAsia="仿宋"/>
          <w:b/>
          <w:sz w:val="21"/>
          <w:szCs w:val="21"/>
        </w:rPr>
        <w:t>操作说明</w:t>
      </w:r>
      <w:r>
        <w:rPr>
          <w:rFonts w:hint="eastAsia"/>
          <w:sz w:val="21"/>
          <w:szCs w:val="21"/>
        </w:rPr>
        <w:t>：</w:t>
      </w:r>
    </w:p>
    <w:p w14:paraId="5A2F4AC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A：选择密码登录方式，输入用户名和密码</w:t>
      </w:r>
    </w:p>
    <w:p w14:paraId="6355D67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B：选择CA登录方式，前提条件必须插入和绑定CA</w:t>
      </w:r>
    </w:p>
    <w:p w14:paraId="6F118951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C：选择短信登陆方式，输入手机号码、获取验证码登录</w:t>
      </w:r>
    </w:p>
    <w:p w14:paraId="0ECDCC7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D：根据不同的登录方式，输入用户名、手机号码、邮箱</w:t>
      </w:r>
    </w:p>
    <w:p w14:paraId="08296ADE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E：根据不同的登录方式，输入密码</w:t>
      </w:r>
    </w:p>
    <w:p w14:paraId="37F5694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F：点击【登录】可进入系统</w:t>
      </w:r>
    </w:p>
    <w:p w14:paraId="5CD42C6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G：点击【忘记密码】进入密码找回页面，可根据手机、邮箱、申诉找回，如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（图2-2）</w:t>
      </w:r>
    </w:p>
    <w:p w14:paraId="52B7FE9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H：点击【注册】进入投标人账号注册页面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（图1-1）</w:t>
      </w:r>
    </w:p>
    <w:p w14:paraId="148298CD">
      <w:pPr>
        <w:spacing w:line="360" w:lineRule="auto"/>
        <w:ind w:firstLine="420" w:firstLineChars="200"/>
        <w:jc w:val="center"/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ascii="仿宋" w:hAnsi="仿宋" w:eastAsia="仿宋"/>
          <w:sz w:val="21"/>
          <w:szCs w:val="21"/>
        </w:rPr>
        <w:br w:type="textWrapping"/>
      </w:r>
      <w:r>
        <w:drawing>
          <wp:inline distT="0" distB="0" distL="0" distR="0">
            <wp:extent cx="5060950" cy="3987800"/>
            <wp:effectExtent l="0" t="0" r="6350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61210" cy="39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0" distR="0">
            <wp:extent cx="4883150" cy="4102100"/>
            <wp:effectExtent l="0" t="0" r="12700" b="127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3401" cy="410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  <w:b/>
          <w:bCs/>
          <w:sz w:val="21"/>
          <w:szCs w:val="21"/>
        </w:rPr>
        <w:t>（图2-2）</w:t>
      </w:r>
    </w:p>
    <w:p w14:paraId="712CB6D4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B6ED25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A：以根据手机号码找回举例，输入手机号码，</w:t>
      </w:r>
    </w:p>
    <w:p w14:paraId="4588EA4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B：根据图示输入验证码</w:t>
      </w:r>
    </w:p>
    <w:p w14:paraId="308FFA3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C：点击【获取短信验证码】，系统发送随机验证码给用户，将收到的验证码在输入框中</w:t>
      </w:r>
    </w:p>
    <w:p w14:paraId="1E7DC1D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D：输入密码框</w:t>
      </w:r>
    </w:p>
    <w:p w14:paraId="5982ADCC"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E：点击【确定】，提交当前操作</w:t>
      </w:r>
    </w:p>
    <w:p w14:paraId="614A3D86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3" w:name="_Toc14896"/>
      <w:r>
        <w:rPr>
          <w:rFonts w:hint="eastAsia" w:ascii="仿宋" w:hAnsi="仿宋" w:eastAsia="仿宋"/>
          <w:sz w:val="24"/>
          <w:szCs w:val="24"/>
          <w:lang w:val="en-US" w:eastAsia="zh-CN"/>
        </w:rPr>
        <w:t>投标客户端、CA驱动下载</w:t>
      </w:r>
      <w:bookmarkEnd w:id="3"/>
    </w:p>
    <w:p w14:paraId="6D93850B">
      <w:pPr>
        <w:ind w:firstLine="420" w:firstLineChars="200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首页</w:t>
      </w:r>
      <w:r>
        <w:rPr>
          <w:rFonts w:hint="eastAsia" w:ascii="仿宋" w:hAnsi="仿宋" w:eastAsia="仿宋"/>
          <w:sz w:val="21"/>
          <w:szCs w:val="21"/>
        </w:rPr>
        <w:t>】-【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常用文件</w:t>
      </w:r>
      <w:r>
        <w:rPr>
          <w:rFonts w:hint="eastAsia" w:ascii="仿宋" w:hAnsi="仿宋" w:eastAsia="仿宋"/>
          <w:sz w:val="21"/>
          <w:szCs w:val="21"/>
        </w:rPr>
        <w:t>】-【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点击下载</w:t>
      </w:r>
      <w:r>
        <w:rPr>
          <w:rFonts w:hint="eastAsia" w:ascii="仿宋" w:hAnsi="仿宋" w:eastAsia="仿宋"/>
          <w:sz w:val="21"/>
          <w:szCs w:val="21"/>
        </w:rPr>
        <w:t>】</w:t>
      </w:r>
    </w:p>
    <w:p w14:paraId="6C030444">
      <w:pPr>
        <w:ind w:firstLine="480" w:firstLineChars="200"/>
      </w:pPr>
      <w:r>
        <w:drawing>
          <wp:inline distT="0" distB="0" distL="114300" distR="114300">
            <wp:extent cx="5264785" cy="2733040"/>
            <wp:effectExtent l="0" t="0" r="8255" b="1016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30EDC">
      <w:pPr>
        <w:ind w:firstLine="420" w:firstLineChars="200"/>
        <w:rPr>
          <w:rFonts w:hint="eastAsia" w:ascii="仿宋" w:hAnsi="仿宋" w:eastAsia="仿宋"/>
          <w:sz w:val="21"/>
          <w:szCs w:val="21"/>
          <w:lang w:val="en-US" w:eastAsia="zh-CN"/>
        </w:rPr>
      </w:pPr>
    </w:p>
    <w:p w14:paraId="0985731B">
      <w:pPr>
        <w:ind w:firstLine="420" w:firstLineChars="200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投标客户端和协卡助手下载完成后，进行文件解压，点击对应的图标进入</w:t>
      </w:r>
    </w:p>
    <w:p w14:paraId="69687089">
      <w:pPr>
        <w:ind w:firstLine="480" w:firstLineChars="200"/>
      </w:pPr>
      <w:r>
        <w:drawing>
          <wp:inline distT="0" distB="0" distL="114300" distR="114300">
            <wp:extent cx="5271770" cy="4701540"/>
            <wp:effectExtent l="0" t="0" r="1270" b="7620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7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E125C">
      <w:pPr>
        <w:ind w:firstLine="480" w:firstLineChars="200"/>
      </w:pPr>
    </w:p>
    <w:p w14:paraId="41BD8DDB">
      <w:pPr>
        <w:ind w:firstLine="480" w:firstLineChars="200"/>
        <w:rPr>
          <w:rFonts w:hint="eastAsia"/>
        </w:rPr>
      </w:pPr>
      <w:r>
        <w:drawing>
          <wp:inline distT="0" distB="0" distL="114300" distR="114300">
            <wp:extent cx="5269230" cy="2947670"/>
            <wp:effectExtent l="0" t="0" r="3810" b="8890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C2D40">
      <w:pPr>
        <w:spacing w:line="360" w:lineRule="auto"/>
        <w:rPr>
          <w:rFonts w:hint="eastAsia" w:ascii="仿宋" w:hAnsi="仿宋" w:eastAsia="仿宋"/>
          <w:sz w:val="21"/>
          <w:szCs w:val="21"/>
        </w:rPr>
      </w:pPr>
    </w:p>
    <w:p w14:paraId="055250A4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4" w:name="_Toc20248"/>
      <w:r>
        <w:rPr>
          <w:rFonts w:hint="eastAsia" w:ascii="仿宋" w:hAnsi="仿宋" w:eastAsia="仿宋"/>
          <w:sz w:val="24"/>
          <w:szCs w:val="24"/>
        </w:rPr>
        <w:t>招标项目</w:t>
      </w:r>
      <w:bookmarkEnd w:id="4"/>
    </w:p>
    <w:p w14:paraId="41EC5BC6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5" w:name="_Toc16642"/>
      <w:r>
        <w:rPr>
          <w:rFonts w:hint="eastAsia" w:ascii="仿宋" w:hAnsi="仿宋" w:eastAsia="仿宋"/>
          <w:sz w:val="24"/>
          <w:szCs w:val="24"/>
        </w:rPr>
        <w:t>投标人报名与邀请回执</w:t>
      </w:r>
      <w:bookmarkEnd w:id="5"/>
    </w:p>
    <w:p w14:paraId="23899D9D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" w:name="_投标人报名"/>
      <w:bookmarkEnd w:id="6"/>
      <w:bookmarkStart w:id="7" w:name="_Toc8852"/>
      <w:r>
        <w:rPr>
          <w:rFonts w:hint="eastAsia" w:ascii="仿宋" w:hAnsi="仿宋" w:eastAsia="仿宋"/>
          <w:sz w:val="24"/>
          <w:szCs w:val="24"/>
        </w:rPr>
        <w:t>投标人报名</w:t>
      </w:r>
      <w:bookmarkEnd w:id="7"/>
    </w:p>
    <w:p w14:paraId="71704BFA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注：项目为公开需要报名时，投标人才可参加报名</w:t>
      </w:r>
    </w:p>
    <w:p w14:paraId="7C1F9BA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投标人/供应商通过点击【实施管理】-【采购项目】-【我要参与】，进入公开招标的项目查询页面</w:t>
      </w:r>
      <w:r>
        <w:rPr>
          <w:rFonts w:hint="eastAsia" w:ascii="仿宋" w:hAnsi="仿宋" w:eastAsia="仿宋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图3.1.1-1</w:t>
      </w:r>
      <w:r>
        <w:rPr>
          <w:rFonts w:hint="eastAsia" w:ascii="仿宋" w:hAnsi="仿宋" w:eastAsia="仿宋"/>
          <w:b/>
          <w:bCs/>
          <w:sz w:val="21"/>
          <w:szCs w:val="21"/>
        </w:rPr>
        <w:t>）</w:t>
      </w:r>
    </w:p>
    <w:p w14:paraId="63A30373">
      <w:r>
        <w:drawing>
          <wp:inline distT="0" distB="0" distL="114300" distR="114300">
            <wp:extent cx="5269865" cy="2422525"/>
            <wp:effectExtent l="0" t="0" r="6985" b="15875"/>
            <wp:docPr id="57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3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344E0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（图3.1.1-1）</w:t>
      </w:r>
    </w:p>
    <w:p w14:paraId="3D4D7C1B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09EEBF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A：输入项目名称、编号、标段（包）名称、业主名称查询条件，系统自动筛选查询结果</w:t>
      </w:r>
    </w:p>
    <w:p w14:paraId="56FA6685"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B：开标时间为下拉框，可选择不同的值，系统自动筛选对应的的查询结果</w:t>
      </w:r>
    </w:p>
    <w:p w14:paraId="5F3BD46E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C：点击【立即参与】，跳转至我的项目页面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（图3.2.2-1）</w:t>
      </w:r>
      <w:r>
        <w:rPr>
          <w:rFonts w:hint="eastAsia" w:ascii="仿宋" w:hAnsi="仿宋" w:eastAsia="仿宋"/>
          <w:sz w:val="21"/>
          <w:szCs w:val="21"/>
        </w:rPr>
        <w:t>，所报名参与的项目也流转至此</w:t>
      </w:r>
    </w:p>
    <w:p w14:paraId="1551712E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D：点击【查看公告】，页面跳转到项目公告内容的查看页面</w:t>
      </w:r>
    </w:p>
    <w:p w14:paraId="706FB6C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8" w:name="_邀请回执"/>
      <w:bookmarkEnd w:id="8"/>
      <w:bookmarkStart w:id="9" w:name="_Toc15458"/>
      <w:r>
        <w:rPr>
          <w:rFonts w:hint="eastAsia" w:ascii="仿宋" w:hAnsi="仿宋" w:eastAsia="仿宋"/>
          <w:sz w:val="24"/>
          <w:szCs w:val="24"/>
        </w:rPr>
        <w:t>邀请回执</w:t>
      </w:r>
      <w:bookmarkEnd w:id="9"/>
    </w:p>
    <w:p w14:paraId="08C475B9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注：邀请项目，投标人需要对投标邀请做反馈。</w:t>
      </w:r>
    </w:p>
    <w:p w14:paraId="73E4E3F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投标人通过【实施管理】-【我的项目】进入如下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（图3.1.2-1）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2F09750F">
      <w:pPr>
        <w:spacing w:line="360" w:lineRule="auto"/>
      </w:pPr>
      <w:r>
        <w:drawing>
          <wp:inline distT="0" distB="0" distL="114300" distR="114300">
            <wp:extent cx="5269230" cy="2422525"/>
            <wp:effectExtent l="0" t="0" r="7620" b="15875"/>
            <wp:docPr id="5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C987E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（图3.1.2-1）</w:t>
      </w:r>
    </w:p>
    <w:p w14:paraId="7EDC8A2D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投标人点击【邀请回执】，进入邀请回执确认页面，如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（图3.1.2-2）</w:t>
      </w:r>
      <w:r>
        <w:rPr>
          <w:rFonts w:hint="eastAsia" w:ascii="仿宋" w:hAnsi="仿宋" w:eastAsia="仿宋"/>
          <w:sz w:val="21"/>
          <w:szCs w:val="21"/>
        </w:rPr>
        <w:br w:type="textWrapping"/>
      </w:r>
      <w:r>
        <w:drawing>
          <wp:inline distT="0" distB="0" distL="114300" distR="114300">
            <wp:extent cx="5268595" cy="1005840"/>
            <wp:effectExtent l="0" t="0" r="8255" b="3810"/>
            <wp:docPr id="5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28"/>
                    <pic:cNvPicPr>
                      <a:picLocks noChangeAspect="1"/>
                    </pic:cNvPicPr>
                  </pic:nvPicPr>
                  <pic:blipFill>
                    <a:blip r:embed="rId20"/>
                    <a:srcRect b="8355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0" distR="0">
            <wp:extent cx="5274310" cy="1402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39" b="132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20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5D19C">
      <w:pPr>
        <w:spacing w:line="360" w:lineRule="auto"/>
        <w:jc w:val="center"/>
      </w:pPr>
      <w:r>
        <w:rPr>
          <w:rFonts w:hint="eastAsia" w:ascii="仿宋" w:hAnsi="仿宋" w:eastAsia="仿宋"/>
          <w:b/>
          <w:bCs/>
          <w:sz w:val="21"/>
          <w:szCs w:val="21"/>
        </w:rPr>
        <w:t>（图3.1.2-2）</w:t>
      </w:r>
    </w:p>
    <w:p w14:paraId="6DADDA41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19ADDD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A：选择是否参加，必填项</w:t>
      </w:r>
    </w:p>
    <w:p w14:paraId="6D3D15B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B：输入回执电话，必填项</w:t>
      </w:r>
    </w:p>
    <w:p w14:paraId="7A3EFD1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C：点击【发送】，邀请回执信息发送至项目经理</w:t>
      </w:r>
    </w:p>
    <w:p w14:paraId="414FFC44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10" w:name="_购买文件"/>
      <w:bookmarkEnd w:id="10"/>
      <w:bookmarkStart w:id="11" w:name="_Toc17944"/>
      <w:r>
        <w:rPr>
          <w:rFonts w:hint="eastAsia" w:ascii="仿宋" w:hAnsi="仿宋" w:eastAsia="仿宋"/>
          <w:sz w:val="24"/>
          <w:szCs w:val="24"/>
          <w:lang w:val="en-US" w:eastAsia="zh-CN"/>
        </w:rPr>
        <w:t>下载</w:t>
      </w:r>
      <w:r>
        <w:rPr>
          <w:rFonts w:hint="eastAsia" w:ascii="仿宋" w:hAnsi="仿宋" w:eastAsia="仿宋"/>
          <w:sz w:val="24"/>
          <w:szCs w:val="24"/>
        </w:rPr>
        <w:t>文件</w:t>
      </w:r>
      <w:bookmarkEnd w:id="11"/>
    </w:p>
    <w:p w14:paraId="25E0CAC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2" w:name="_购买预审/招标文件"/>
      <w:bookmarkEnd w:id="12"/>
      <w:bookmarkStart w:id="13" w:name="_下载文件"/>
      <w:bookmarkEnd w:id="13"/>
      <w:bookmarkStart w:id="14" w:name="_Toc7117"/>
      <w:r>
        <w:rPr>
          <w:rFonts w:hint="eastAsia" w:ascii="仿宋" w:hAnsi="仿宋" w:eastAsia="仿宋"/>
          <w:sz w:val="24"/>
          <w:szCs w:val="24"/>
        </w:rPr>
        <w:t>下载文件</w:t>
      </w:r>
      <w:bookmarkEnd w:id="14"/>
    </w:p>
    <w:p w14:paraId="3BCF281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投标人/供应商通过点击【实施管理】-【我的项目】-【我的项目】，进入已经参与的项目查询页面，如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（图3.2.3-1）</w:t>
      </w:r>
    </w:p>
    <w:p w14:paraId="15424D0F">
      <w:r>
        <w:drawing>
          <wp:inline distT="0" distB="0" distL="114300" distR="114300">
            <wp:extent cx="5265420" cy="2426335"/>
            <wp:effectExtent l="0" t="0" r="11430" b="1206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2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2E33C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（图3.2.3-1）</w:t>
      </w:r>
    </w:p>
    <w:p w14:paraId="3D2443C6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3348C7A4"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A：订单已复核或为文件获取方式为免费下载的项目/标段，显示文件下载按钮，点击【文件下载】/【预审文件下载】下载招标或预审文件。</w:t>
      </w:r>
    </w:p>
    <w:p w14:paraId="6BB57EC2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5" w:name="_Toc12478"/>
      <w:r>
        <w:rPr>
          <w:rFonts w:hint="eastAsia" w:ascii="仿宋" w:hAnsi="仿宋" w:eastAsia="仿宋"/>
          <w:sz w:val="24"/>
          <w:szCs w:val="24"/>
          <w:lang w:val="en-US" w:eastAsia="zh-CN"/>
        </w:rPr>
        <w:t>投标客户端操作</w:t>
      </w:r>
      <w:bookmarkEnd w:id="15"/>
    </w:p>
    <w:p w14:paraId="643D8048">
      <w:pPr>
        <w:spacing w:line="360" w:lineRule="auto"/>
        <w:ind w:firstLine="420" w:firstLineChars="200"/>
        <w:rPr>
          <w:rFonts w:hint="eastAsia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下载完成后打开投标客户端进行操作：</w:t>
      </w:r>
    </w:p>
    <w:p w14:paraId="7866F5BF">
      <w:pPr>
        <w:spacing w:line="360" w:lineRule="auto"/>
        <w:ind w:firstLine="420" w:firstLineChars="200"/>
        <w:rPr>
          <w:rFonts w:hint="eastAsia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第一步：切换CA</w:t>
      </w:r>
    </w:p>
    <w:p w14:paraId="2671A6DB">
      <w:pPr>
        <w:spacing w:line="360" w:lineRule="auto"/>
        <w:ind w:firstLine="480" w:firstLineChars="200"/>
      </w:pPr>
      <w:r>
        <w:drawing>
          <wp:inline distT="0" distB="0" distL="114300" distR="114300">
            <wp:extent cx="5271135" cy="3423920"/>
            <wp:effectExtent l="0" t="0" r="1905" b="5080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4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F1660">
      <w:pPr>
        <w:spacing w:line="360" w:lineRule="auto"/>
        <w:ind w:firstLine="480" w:firstLineChars="200"/>
      </w:pPr>
    </w:p>
    <w:p w14:paraId="7AA6AE15"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第二步创建投标文件：</w:t>
      </w:r>
    </w:p>
    <w:p w14:paraId="3162E74E"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选择我们文件下载过的招标文件，对应的文件格式是ebid格式</w:t>
      </w:r>
    </w:p>
    <w:p w14:paraId="7B9E8921">
      <w:pPr>
        <w:spacing w:line="360" w:lineRule="auto"/>
        <w:ind w:firstLine="480" w:firstLineChars="200"/>
      </w:pPr>
      <w:r>
        <w:drawing>
          <wp:inline distT="0" distB="0" distL="114300" distR="114300">
            <wp:extent cx="5264150" cy="3302635"/>
            <wp:effectExtent l="0" t="0" r="8890" b="4445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C9402">
      <w:pPr>
        <w:spacing w:line="360" w:lineRule="auto"/>
        <w:ind w:firstLine="480" w:firstLineChars="200"/>
      </w:pPr>
    </w:p>
    <w:p w14:paraId="4F02EF59"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第三步按照文件要求生成投标文件</w:t>
      </w:r>
    </w:p>
    <w:p w14:paraId="07FEAF9A">
      <w:pPr>
        <w:spacing w:line="360" w:lineRule="auto"/>
        <w:ind w:firstLine="48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5264785" cy="3412490"/>
            <wp:effectExtent l="0" t="0" r="8255" b="1270"/>
            <wp:docPr id="2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1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A2AD0">
      <w:pPr>
        <w:spacing w:line="360" w:lineRule="auto"/>
        <w:rPr>
          <w:rFonts w:hint="eastAsia" w:ascii="仿宋" w:hAnsi="仿宋" w:eastAsia="仿宋"/>
          <w:sz w:val="21"/>
          <w:szCs w:val="21"/>
          <w:lang w:val="en-US" w:eastAsia="zh-CN"/>
        </w:rPr>
      </w:pPr>
    </w:p>
    <w:p w14:paraId="54AEE98E"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</w:p>
    <w:p w14:paraId="7AEE5787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1"/>
          <w:szCs w:val="21"/>
        </w:rPr>
      </w:pPr>
      <w:bookmarkStart w:id="16" w:name="_Toc10799"/>
      <w:r>
        <w:rPr>
          <w:rFonts w:hint="eastAsia" w:ascii="仿宋" w:hAnsi="仿宋" w:eastAsia="仿宋"/>
          <w:sz w:val="24"/>
          <w:szCs w:val="24"/>
        </w:rPr>
        <w:t>澄清管理</w:t>
      </w:r>
      <w:bookmarkEnd w:id="16"/>
    </w:p>
    <w:p w14:paraId="381973A6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7" w:name="_招标/采购文件澄清"/>
      <w:bookmarkEnd w:id="17"/>
      <w:bookmarkStart w:id="18" w:name="_Toc26754"/>
      <w:bookmarkStart w:id="19" w:name="_Toc6143"/>
      <w:r>
        <w:rPr>
          <w:rFonts w:hint="eastAsia" w:ascii="仿宋" w:hAnsi="仿宋" w:eastAsia="仿宋"/>
          <w:sz w:val="24"/>
          <w:szCs w:val="24"/>
        </w:rPr>
        <w:t>招标/采购文件澄清</w:t>
      </w:r>
      <w:bookmarkEnd w:id="18"/>
      <w:bookmarkEnd w:id="19"/>
    </w:p>
    <w:p w14:paraId="4376748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投标人/供应商于项目工作台点击【招标文件澄清】，可进入招标/采购文件澄清页面，如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（图3.3.2-1）</w:t>
      </w:r>
    </w:p>
    <w:p w14:paraId="32624FD7">
      <w:r>
        <w:drawing>
          <wp:inline distT="0" distB="0" distL="114300" distR="114300">
            <wp:extent cx="5269230" cy="2598420"/>
            <wp:effectExtent l="0" t="0" r="7620" b="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rcRect t="828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DC64C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（图3.3.2-1）</w:t>
      </w:r>
    </w:p>
    <w:p w14:paraId="3FCD0742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379C4AEA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A：点击【投标人/供应商提出的问题】，显示投标人/供应商向项目经理提出的所有问题。</w:t>
      </w:r>
    </w:p>
    <w:p w14:paraId="01F2D372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B：点击【回复/澄清】，显示项目经理对该投标人/供应商提出的澄清或回复的所有问题，如（图3.3.2-3）</w:t>
      </w:r>
    </w:p>
    <w:p w14:paraId="5BA6671F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C：点击【提出问题】按钮，进入提出澄清问题页面，如下（图3.3.2-2）所示：</w:t>
      </w:r>
    </w:p>
    <w:p w14:paraId="19CEFEA3">
      <w:pPr>
        <w:spacing w:line="360" w:lineRule="auto"/>
        <w:ind w:firstLine="480" w:firstLineChars="200"/>
      </w:pPr>
      <w:r>
        <w:drawing>
          <wp:inline distT="0" distB="0" distL="114300" distR="114300">
            <wp:extent cx="5270500" cy="2750820"/>
            <wp:effectExtent l="0" t="0" r="6350" b="1143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B6CB0">
      <w:pPr>
        <w:spacing w:line="360" w:lineRule="auto"/>
        <w:ind w:firstLine="422" w:firstLineChars="200"/>
        <w:jc w:val="center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（图3.3.2-2）</w:t>
      </w:r>
    </w:p>
    <w:p w14:paraId="12555BA1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6FA8F219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A：保存填写的澄清信息，项目经理不可见。</w:t>
      </w:r>
    </w:p>
    <w:p w14:paraId="3F5C9547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B：提交填写的澄清信息，项目经理可以查看到。</w:t>
      </w:r>
    </w:p>
    <w:p w14:paraId="5DD7A9B8">
      <w:pPr>
        <w:spacing w:line="360" w:lineRule="auto"/>
      </w:pPr>
      <w:r>
        <w:drawing>
          <wp:inline distT="0" distB="0" distL="114300" distR="114300">
            <wp:extent cx="5262880" cy="2203450"/>
            <wp:effectExtent l="0" t="0" r="13970" b="6350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6EB62">
      <w:pPr>
        <w:spacing w:line="360" w:lineRule="auto"/>
        <w:ind w:firstLine="422" w:firstLineChars="200"/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（图3.3.2-3）</w:t>
      </w:r>
    </w:p>
    <w:p w14:paraId="79D0EBE2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65B37722">
      <w:pPr>
        <w:spacing w:line="360" w:lineRule="auto"/>
        <w:rPr>
          <w:rFonts w:hint="eastAsia"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B：点击【查看】，显示项目经理回复澄清的详细信息</w:t>
      </w:r>
    </w:p>
    <w:p w14:paraId="27969C5F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20" w:name="_Toc30546"/>
      <w:r>
        <w:rPr>
          <w:rFonts w:hint="eastAsia" w:ascii="仿宋" w:hAnsi="仿宋" w:eastAsia="仿宋"/>
          <w:sz w:val="24"/>
          <w:szCs w:val="24"/>
        </w:rPr>
        <w:t>投标文件管理</w:t>
      </w:r>
      <w:bookmarkEnd w:id="20"/>
    </w:p>
    <w:p w14:paraId="57F9BF0E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1" w:name="_Toc31102"/>
      <w:r>
        <w:rPr>
          <w:rFonts w:hint="eastAsia" w:ascii="仿宋" w:hAnsi="仿宋" w:eastAsia="仿宋"/>
          <w:sz w:val="24"/>
          <w:szCs w:val="24"/>
        </w:rPr>
        <w:t>客户端编制投标文件</w:t>
      </w:r>
      <w:bookmarkEnd w:id="21"/>
    </w:p>
    <w:p w14:paraId="1C76645A"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</w:rPr>
        <w:t>详情见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招标投标操作视频。</w:t>
      </w:r>
    </w:p>
    <w:p w14:paraId="04F48E7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2" w:name="_绑定CA证书"/>
      <w:bookmarkEnd w:id="22"/>
      <w:bookmarkStart w:id="23" w:name="_Toc830"/>
      <w:r>
        <w:rPr>
          <w:rFonts w:hint="eastAsia" w:ascii="仿宋" w:hAnsi="仿宋" w:eastAsia="仿宋"/>
          <w:sz w:val="24"/>
          <w:szCs w:val="24"/>
        </w:rPr>
        <w:t>绑定CA证书</w:t>
      </w:r>
      <w:bookmarkEnd w:id="23"/>
    </w:p>
    <w:p w14:paraId="35092BF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网上开标项目，投标人在递交投标文件之前需要先绑定CA，目前标准版V6仅支持CFCA绑定，点击【系统管理】-【证书管理】-【CA绑定】，进入如下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（图3.4.2-1）</w:t>
      </w:r>
      <w:r>
        <w:rPr>
          <w:rFonts w:hint="eastAsia" w:ascii="仿宋" w:hAnsi="仿宋" w:eastAsia="仿宋"/>
          <w:sz w:val="21"/>
          <w:szCs w:val="21"/>
        </w:rPr>
        <w:t>页面：</w:t>
      </w:r>
    </w:p>
    <w:p w14:paraId="3BE77A71">
      <w:r>
        <w:drawing>
          <wp:inline distT="0" distB="0" distL="114300" distR="114300">
            <wp:extent cx="5205730" cy="1600200"/>
            <wp:effectExtent l="0" t="0" r="0" b="0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rcRect t="-4776" b="25972"/>
                    <a:stretch>
                      <a:fillRect/>
                    </a:stretch>
                  </pic:blipFill>
                  <pic:spPr>
                    <a:xfrm>
                      <a:off x="0" y="0"/>
                      <a:ext cx="5280259" cy="16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11C3D">
      <w:pPr>
        <w:spacing w:line="360" w:lineRule="auto"/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（图3.4.2-1）</w:t>
      </w:r>
    </w:p>
    <w:p w14:paraId="54B52C2C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56C6FEC">
      <w:pPr>
        <w:spacing w:line="360" w:lineRule="auto"/>
        <w:rPr>
          <w:b/>
        </w:rPr>
      </w:pPr>
      <w:r>
        <w:rPr>
          <w:rFonts w:hint="eastAsia" w:ascii="仿宋" w:hAnsi="仿宋" w:eastAsia="仿宋"/>
          <w:sz w:val="21"/>
          <w:szCs w:val="21"/>
        </w:rPr>
        <w:t>A：点击【CA绑定】，弹出如下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（图3.4.2-2）</w:t>
      </w:r>
      <w:r>
        <w:rPr>
          <w:rFonts w:hint="eastAsia" w:ascii="仿宋" w:hAnsi="仿宋" w:eastAsia="仿宋"/>
          <w:sz w:val="21"/>
          <w:szCs w:val="21"/>
        </w:rPr>
        <w:t>弹框：</w:t>
      </w:r>
      <w:r>
        <w:rPr>
          <w:rFonts w:hint="eastAsia" w:ascii="仿宋" w:hAnsi="仿宋" w:eastAsia="仿宋"/>
          <w:sz w:val="21"/>
          <w:szCs w:val="21"/>
        </w:rPr>
        <w:br w:type="textWrapping"/>
      </w:r>
      <w:r>
        <w:drawing>
          <wp:inline distT="0" distB="0" distL="114300" distR="114300">
            <wp:extent cx="5587365" cy="1831340"/>
            <wp:effectExtent l="0" t="0" r="13335" b="16510"/>
            <wp:docPr id="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E85B3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（图3.4.2-2）</w:t>
      </w:r>
    </w:p>
    <w:p w14:paraId="042C237C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2C59FE7A">
      <w:pPr>
        <w:spacing w:line="360" w:lineRule="auto"/>
        <w:rPr>
          <w:rFonts w:ascii="仿宋" w:hAnsi="仿宋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（计算机USB插口插入CA）</w:t>
      </w:r>
    </w:p>
    <w:p w14:paraId="13844B2A">
      <w:pPr>
        <w:spacing w:line="360" w:lineRule="auto"/>
        <w:rPr>
          <w:rFonts w:ascii="仿宋" w:hAnsi="仿宋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A：点击弹出下拉框，从下拉框中选择CA类型</w:t>
      </w:r>
    </w:p>
    <w:p w14:paraId="5544509D">
      <w:pPr>
        <w:spacing w:line="360" w:lineRule="auto"/>
        <w:rPr>
          <w:rFonts w:ascii="仿宋" w:hAnsi="仿宋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B：输入已插入的CA密码</w:t>
      </w:r>
    </w:p>
    <w:p w14:paraId="38D58661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C：点击【CA登录】，弹出CA绑定页面</w:t>
      </w:r>
      <w:r>
        <w:rPr>
          <w:rFonts w:hint="eastAsia" w:ascii="Calibri" w:hAnsi="Calibri" w:eastAsia="仿宋" w:cs="黑体"/>
          <w:sz w:val="21"/>
          <w:szCs w:val="21"/>
        </w:rPr>
        <w:t>，</w:t>
      </w:r>
      <w:r>
        <w:rPr>
          <w:rFonts w:hint="eastAsia" w:ascii="仿宋" w:hAnsi="仿宋" w:eastAsia="仿宋" w:cs="黑体"/>
          <w:sz w:val="21"/>
          <w:szCs w:val="21"/>
        </w:rPr>
        <w:t>如下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（图3.4.2-3）</w:t>
      </w:r>
    </w:p>
    <w:p w14:paraId="72910DED">
      <w:pPr>
        <w:spacing w:line="360" w:lineRule="auto"/>
      </w:pPr>
      <w:r>
        <w:drawing>
          <wp:inline distT="0" distB="0" distL="114300" distR="114300">
            <wp:extent cx="5268595" cy="3274695"/>
            <wp:effectExtent l="0" t="0" r="8255" b="1905"/>
            <wp:docPr id="2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0435F">
      <w:pPr>
        <w:spacing w:line="360" w:lineRule="auto"/>
        <w:ind w:firstLine="402" w:firstLineChars="200"/>
        <w:jc w:val="center"/>
        <w:rPr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>（图3.4.2-3）</w:t>
      </w:r>
    </w:p>
    <w:p w14:paraId="6DB55A2B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151087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A：显示此CA相关信息</w:t>
      </w:r>
    </w:p>
    <w:p w14:paraId="7CBEF6A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B：点击【绑定】，下面的列表中显示CA证书详细信息，如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（图3.4.2-4）</w:t>
      </w:r>
      <w:r>
        <w:rPr>
          <w:rFonts w:hint="eastAsia" w:ascii="仿宋" w:hAnsi="仿宋" w:eastAsia="仿宋"/>
          <w:sz w:val="21"/>
          <w:szCs w:val="21"/>
        </w:rPr>
        <w:t>，该CA与该投标人唯一对应，CA即代表了投标人的身份。</w:t>
      </w:r>
    </w:p>
    <w:p w14:paraId="450A3A31">
      <w:pPr>
        <w:spacing w:line="360" w:lineRule="auto"/>
      </w:pPr>
      <w:r>
        <w:drawing>
          <wp:inline distT="0" distB="0" distL="114300" distR="114300">
            <wp:extent cx="5273040" cy="719455"/>
            <wp:effectExtent l="0" t="0" r="3810" b="4445"/>
            <wp:docPr id="2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740A5">
      <w:pPr>
        <w:jc w:val="center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（图3.4.2-4）</w:t>
      </w:r>
    </w:p>
    <w:p w14:paraId="7827C16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4" w:name="_递交投标文件"/>
      <w:bookmarkEnd w:id="24"/>
      <w:bookmarkStart w:id="25" w:name="_Toc8996"/>
      <w:r>
        <w:rPr>
          <w:rFonts w:hint="eastAsia" w:ascii="仿宋" w:hAnsi="仿宋" w:eastAsia="仿宋"/>
          <w:sz w:val="24"/>
          <w:szCs w:val="24"/>
        </w:rPr>
        <w:t>递交投标文件</w:t>
      </w:r>
      <w:bookmarkEnd w:id="25"/>
    </w:p>
    <w:p w14:paraId="2834310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投标文件编制完成且CA绑定完成之后，即可递交投标文件，点击项目工作台的【递交投标文件】按钮进入如下页面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（图3.4.3-1）</w:t>
      </w:r>
      <w:r>
        <w:rPr>
          <w:rFonts w:hint="eastAsia" w:ascii="仿宋" w:hAnsi="仿宋" w:eastAsia="仿宋"/>
          <w:sz w:val="21"/>
          <w:szCs w:val="21"/>
        </w:rPr>
        <w:t>：</w:t>
      </w:r>
    </w:p>
    <w:p w14:paraId="754925C4">
      <w:r>
        <w:drawing>
          <wp:inline distT="0" distB="0" distL="114300" distR="114300">
            <wp:extent cx="5269865" cy="2859405"/>
            <wp:effectExtent l="0" t="0" r="6985" b="17145"/>
            <wp:docPr id="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"/>
                    <pic:cNvPicPr>
                      <a:picLocks noChangeAspect="1"/>
                    </pic:cNvPicPr>
                  </pic:nvPicPr>
                  <pic:blipFill>
                    <a:blip r:embed="rId33"/>
                    <a:srcRect b="475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ABCB4">
      <w:pPr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（图3.4.3-1）</w:t>
      </w:r>
    </w:p>
    <w:p w14:paraId="7265F977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D202D4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A：对于递交状态、递交截止时间、截止时间倒计时等信息显示，递交截止时间到，将不允许递交投标文件</w:t>
      </w:r>
    </w:p>
    <w:p w14:paraId="6676287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B：开标参与人姓名、开标参与人手机默认带出，可修改，必填项</w:t>
      </w:r>
    </w:p>
    <w:p w14:paraId="5DFAC94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C：点击【上传文件】，上传投标客户端编制完成的投标文件</w:t>
      </w:r>
    </w:p>
    <w:p w14:paraId="79095CA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D：点击【保存】，页面信息保存，仅自己可见</w:t>
      </w:r>
    </w:p>
    <w:p w14:paraId="4B3A65E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E：点击【递交投标文件】，弹出CA登录页面，输入CA类型及密码，点击登录进行CA验证，验证成功后-确认递交，投标文件递交至项目经理</w:t>
      </w:r>
    </w:p>
    <w:p w14:paraId="1A6406E4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投标人成功递交投标文件后，页面显示如下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（图3.4.3-2）</w:t>
      </w:r>
    </w:p>
    <w:p w14:paraId="0A69269B">
      <w:r>
        <w:drawing>
          <wp:inline distT="0" distB="0" distL="114300" distR="114300">
            <wp:extent cx="5266690" cy="2300605"/>
            <wp:effectExtent l="0" t="0" r="10160" b="444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AD09C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（图3.4.3-2）</w:t>
      </w:r>
    </w:p>
    <w:p w14:paraId="7721FBBC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DC3604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A：递交投标文件成功后，在开标之前可点击【撤回投标文件】，撤回已递交的投标文件</w:t>
      </w:r>
    </w:p>
    <w:p w14:paraId="7B5206F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B：点击【回执查看】，弹出回执文件查看页面，如下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（图3.4.3-3）</w:t>
      </w:r>
    </w:p>
    <w:p w14:paraId="14E23D53">
      <w:r>
        <w:drawing>
          <wp:inline distT="0" distB="0" distL="114300" distR="114300">
            <wp:extent cx="5269865" cy="1772285"/>
            <wp:effectExtent l="0" t="0" r="6985" b="18415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75BEA">
      <w:pPr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（图3.4.3-3）</w:t>
      </w:r>
    </w:p>
    <w:p w14:paraId="206DF3C8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352DF5F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A：点击【下载】，下载递交回执文件</w:t>
      </w:r>
    </w:p>
    <w:p w14:paraId="723A446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B：点击【预览】，预览递交回执文件</w:t>
      </w:r>
    </w:p>
    <w:p w14:paraId="47EF6D4C">
      <w:pPr>
        <w:widowControl/>
        <w:jc w:val="left"/>
        <w:rPr>
          <w:rFonts w:hint="eastAsia"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br w:type="page"/>
      </w:r>
    </w:p>
    <w:p w14:paraId="405F72F8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26" w:name="_参与线上开标"/>
      <w:bookmarkEnd w:id="26"/>
      <w:bookmarkStart w:id="27" w:name="_Toc556"/>
      <w:r>
        <w:rPr>
          <w:rFonts w:hint="eastAsia" w:ascii="仿宋" w:hAnsi="仿宋" w:eastAsia="仿宋"/>
          <w:sz w:val="24"/>
          <w:szCs w:val="24"/>
        </w:rPr>
        <w:t>参与线上开标</w:t>
      </w:r>
      <w:bookmarkEnd w:id="27"/>
    </w:p>
    <w:p w14:paraId="28CA73A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8" w:name="_Toc1628"/>
      <w:r>
        <w:rPr>
          <w:rFonts w:hint="eastAsia" w:ascii="仿宋" w:hAnsi="仿宋" w:eastAsia="仿宋"/>
          <w:sz w:val="24"/>
          <w:szCs w:val="24"/>
        </w:rPr>
        <w:t>签到</w:t>
      </w:r>
      <w:bookmarkEnd w:id="28"/>
    </w:p>
    <w:p w14:paraId="79C2B1A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进入开标大厅有三种方式，分别是首页点击待办点击进入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（图3.5.1-1）</w:t>
      </w:r>
      <w:r>
        <w:rPr>
          <w:rFonts w:hint="eastAsia" w:ascii="仿宋" w:hAnsi="仿宋" w:eastAsia="仿宋"/>
          <w:sz w:val="21"/>
          <w:szCs w:val="21"/>
        </w:rPr>
        <w:t>、首页快捷入口点击进入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（图3.5.1-2）</w:t>
      </w:r>
      <w:r>
        <w:rPr>
          <w:rFonts w:hint="eastAsia" w:ascii="仿宋" w:hAnsi="仿宋" w:eastAsia="仿宋"/>
          <w:sz w:val="21"/>
          <w:szCs w:val="21"/>
        </w:rPr>
        <w:t>、项目工作台点击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（图3.5.1-3）</w:t>
      </w:r>
    </w:p>
    <w:p w14:paraId="3D26C038">
      <w:pPr>
        <w:spacing w:line="360" w:lineRule="auto"/>
      </w:pPr>
      <w:r>
        <w:drawing>
          <wp:inline distT="0" distB="0" distL="114300" distR="114300">
            <wp:extent cx="5262880" cy="2359025"/>
            <wp:effectExtent l="0" t="0" r="13970" b="3175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3860D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（图3.5.1-1）</w:t>
      </w:r>
    </w:p>
    <w:p w14:paraId="3F8A509A">
      <w:r>
        <w:drawing>
          <wp:inline distT="0" distB="0" distL="114300" distR="114300">
            <wp:extent cx="5265420" cy="2399665"/>
            <wp:effectExtent l="0" t="0" r="11430" b="635"/>
            <wp:docPr id="3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30068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（图3.5.1-2）</w:t>
      </w:r>
    </w:p>
    <w:p w14:paraId="7D737529">
      <w:pPr>
        <w:jc w:val="center"/>
      </w:pPr>
      <w:r>
        <w:drawing>
          <wp:inline distT="0" distB="0" distL="114300" distR="114300">
            <wp:extent cx="1905000" cy="4762500"/>
            <wp:effectExtent l="0" t="0" r="0" b="0"/>
            <wp:docPr id="3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46647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（图3.5.1-3）</w:t>
      </w:r>
    </w:p>
    <w:p w14:paraId="7C64AA33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投标人可随意选择任意一种方式进入，进入页面如下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（图3.5.1-4）</w:t>
      </w:r>
    </w:p>
    <w:p w14:paraId="3CE262D5">
      <w:r>
        <w:drawing>
          <wp:inline distT="0" distB="0" distL="114300" distR="114300">
            <wp:extent cx="5269230" cy="2411095"/>
            <wp:effectExtent l="0" t="0" r="7620" b="8255"/>
            <wp:docPr id="3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66C68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（图3.5.1-4）</w:t>
      </w:r>
    </w:p>
    <w:p w14:paraId="2FA9A24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双击今日开标项目中自己参与的项目进入该项目的开标大厅，页面自动弹出开标规则说明，如下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（图3.5.1-5）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19C2749A">
      <w:pPr>
        <w:spacing w:line="360" w:lineRule="auto"/>
      </w:pPr>
      <w:r>
        <w:drawing>
          <wp:inline distT="0" distB="0" distL="114300" distR="114300">
            <wp:extent cx="5269230" cy="2403475"/>
            <wp:effectExtent l="0" t="0" r="7620" b="15875"/>
            <wp:docPr id="3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FFB61">
      <w:pPr>
        <w:jc w:val="center"/>
        <w:rPr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（图3.5.1-5）</w:t>
      </w:r>
    </w:p>
    <w:p w14:paraId="1E5BA45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仔细阅读开标规则说明，阅读完毕点击【关闭】按钮关闭开标规则说明，页面如下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（图3.5.1-6）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3CBD3B62">
      <w:pPr>
        <w:jc w:val="center"/>
      </w:pPr>
      <w:r>
        <w:drawing>
          <wp:inline distT="0" distB="0" distL="114300" distR="114300">
            <wp:extent cx="4495800" cy="2066925"/>
            <wp:effectExtent l="0" t="0" r="0" b="9525"/>
            <wp:docPr id="3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24755" cy="2080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BEFE6"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（图3.5.1-6）</w:t>
      </w:r>
    </w:p>
    <w:p w14:paraId="734F2777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3EA9E31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A：显示当前项目的名称</w:t>
      </w:r>
    </w:p>
    <w:p w14:paraId="1678A6C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B：显示此开标大厅中开标的标段个数</w:t>
      </w:r>
    </w:p>
    <w:p w14:paraId="2DA291C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C：显示自己是否签到，成功进入开标大厅即签到成功</w:t>
      </w:r>
    </w:p>
    <w:p w14:paraId="50BE902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D：点击可查看开标规则说明</w:t>
      </w:r>
    </w:p>
    <w:p w14:paraId="39ADD9E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E：点击展开聊天窗口，可与项目经理在开标过程中进行在线的沟通交流</w:t>
      </w:r>
    </w:p>
    <w:p w14:paraId="5D8C43CF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9" w:name="_Toc15785"/>
      <w:r>
        <w:rPr>
          <w:rFonts w:hint="eastAsia" w:ascii="仿宋" w:hAnsi="仿宋" w:eastAsia="仿宋"/>
          <w:sz w:val="24"/>
          <w:szCs w:val="24"/>
        </w:rPr>
        <w:t>开标异议</w:t>
      </w:r>
      <w:bookmarkEnd w:id="29"/>
    </w:p>
    <w:p w14:paraId="69124971">
      <w:r>
        <w:drawing>
          <wp:inline distT="0" distB="0" distL="114300" distR="114300">
            <wp:extent cx="5265420" cy="2411095"/>
            <wp:effectExtent l="0" t="0" r="11430" b="8255"/>
            <wp:docPr id="3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86DC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开标过程中在开标大厅点击【开标异议】，跳转至提出异议页面，如下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（图3.5.2-1）</w:t>
      </w:r>
      <w:r>
        <w:rPr>
          <w:rFonts w:hint="eastAsia" w:ascii="仿宋" w:hAnsi="仿宋" w:eastAsia="仿宋"/>
          <w:sz w:val="21"/>
          <w:szCs w:val="21"/>
        </w:rPr>
        <w:t>：</w:t>
      </w:r>
    </w:p>
    <w:p w14:paraId="5BB97E68">
      <w:pPr>
        <w:ind w:right="-1054" w:rightChars="-439"/>
      </w:pPr>
      <w:r>
        <w:drawing>
          <wp:inline distT="0" distB="0" distL="114300" distR="114300">
            <wp:extent cx="5264150" cy="2235835"/>
            <wp:effectExtent l="0" t="0" r="12700" b="12065"/>
            <wp:docPr id="3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33E4F">
      <w:pPr>
        <w:ind w:right="-1054" w:rightChars="-439"/>
        <w:jc w:val="center"/>
        <w:rPr>
          <w:b/>
          <w:bCs/>
          <w:sz w:val="21"/>
          <w:szCs w:val="20"/>
        </w:rPr>
      </w:pPr>
      <w:r>
        <w:rPr>
          <w:rFonts w:hint="eastAsia"/>
          <w:b/>
          <w:bCs/>
          <w:sz w:val="21"/>
          <w:szCs w:val="20"/>
        </w:rPr>
        <w:t>（图3.5.2-1）</w:t>
      </w:r>
    </w:p>
    <w:p w14:paraId="26EA576F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0729052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A：标段编号默认带入当前标段的编号，可点击放大镜，选择其他标段</w:t>
      </w:r>
    </w:p>
    <w:p w14:paraId="4BB896F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B：输入异议人相关信息，必填项</w:t>
      </w:r>
    </w:p>
    <w:p w14:paraId="0384791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C：异议类型默认带入，不可编辑，不可修改；输入异议事项，必填项</w:t>
      </w:r>
    </w:p>
    <w:p w14:paraId="0C264EC3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D：输入请求及主张，必填项</w:t>
      </w:r>
    </w:p>
    <w:p w14:paraId="34A8356E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E：点击上传异议附件，必填项</w:t>
      </w:r>
    </w:p>
    <w:p w14:paraId="3416855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F：点击【保存】，保存已维护的页面信息</w:t>
      </w:r>
    </w:p>
    <w:p w14:paraId="0EC2EC4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G：点击【提交】，提出的异议提交至项目经理</w:t>
      </w:r>
    </w:p>
    <w:p w14:paraId="66F0565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项目经理对投标人所提的开标异议接受-处理-回复后，投标人通过【实施管理】-【异议投诉】-【异议管理】，进入如下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（图3.5.2-1）</w:t>
      </w:r>
      <w:r>
        <w:rPr>
          <w:rFonts w:hint="eastAsia" w:ascii="仿宋" w:hAnsi="仿宋" w:eastAsia="仿宋"/>
          <w:sz w:val="21"/>
          <w:szCs w:val="21"/>
        </w:rPr>
        <w:t>页面</w:t>
      </w:r>
    </w:p>
    <w:p w14:paraId="2D2DE216">
      <w:r>
        <w:drawing>
          <wp:inline distT="0" distB="0" distL="114300" distR="114300">
            <wp:extent cx="5267325" cy="2381885"/>
            <wp:effectExtent l="0" t="0" r="9525" b="18415"/>
            <wp:docPr id="4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73797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（图3.5.2-1）</w:t>
      </w:r>
    </w:p>
    <w:p w14:paraId="4B2C6E47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3346C7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A：点击【查看】，查看项目经理对异议的答复。</w:t>
      </w:r>
    </w:p>
    <w:p w14:paraId="1D319402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30" w:name="_Toc5400"/>
      <w:r>
        <w:rPr>
          <w:rFonts w:hint="eastAsia" w:ascii="仿宋" w:hAnsi="仿宋" w:eastAsia="仿宋"/>
          <w:sz w:val="24"/>
          <w:szCs w:val="24"/>
        </w:rPr>
        <w:t>解密</w:t>
      </w:r>
      <w:bookmarkEnd w:id="30"/>
    </w:p>
    <w:p w14:paraId="1207D07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投标人解密文件需要用到编制投标文件时所用的CA，因此解密之前如果未绑定CA证书需要先绑定CA证书，绑定方法见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"_绑定CA证书"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章节3.4.2绑定C</w:t>
      </w:r>
      <w:r>
        <w:rPr>
          <w:rStyle w:val="19"/>
          <w:rFonts w:ascii="仿宋" w:hAnsi="仿宋" w:eastAsia="仿宋"/>
          <w:b/>
          <w:bCs/>
          <w:sz w:val="21"/>
          <w:szCs w:val="21"/>
        </w:rPr>
        <w:t>A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证书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50D63B5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开标后投标人即可开始解密，投标人必须在规定的时间内完成解密。由于开标有项目经理手动开标和无人开标两方式，两种开标方式解密、签名的基本操作一致。不同的是手动开标方式，开标倒计时结束后，投标人需等待项目经理手动宣布开标才能解密，解密阶段结束后，投标人需等待项目经理发送开标记录表才能解密；无人开标方方式，开标倒计时结束后，标段立即自动开标，投标人开始解密，解密阶段结束后，标段立即自动发送开标记录表，签名阶段开始。</w:t>
      </w:r>
    </w:p>
    <w:p w14:paraId="45AFD3C5">
      <w:pPr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  <w:sz w:val="21"/>
          <w:szCs w:val="21"/>
        </w:rPr>
        <w:t>项目经理开标后投标人即可开始解密,如下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（图3.5.3-1）</w:t>
      </w:r>
      <w:r>
        <w:rPr>
          <w:rFonts w:hint="eastAsia" w:ascii="仿宋" w:hAnsi="仿宋" w:eastAsia="仿宋"/>
          <w:sz w:val="21"/>
          <w:szCs w:val="21"/>
        </w:rPr>
        <w:t>：</w:t>
      </w:r>
      <w:r>
        <w:rPr>
          <w:rFonts w:hint="eastAsia" w:ascii="仿宋" w:hAnsi="仿宋" w:eastAsia="仿宋"/>
          <w:sz w:val="21"/>
          <w:szCs w:val="21"/>
        </w:rPr>
        <w:br w:type="textWrapping"/>
      </w:r>
      <w:r>
        <w:drawing>
          <wp:inline distT="0" distB="0" distL="114300" distR="114300">
            <wp:extent cx="4983480" cy="2147570"/>
            <wp:effectExtent l="0" t="0" r="7620" b="5080"/>
            <wp:docPr id="4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01452" cy="2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C11E0">
      <w:pPr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（图3.5.3-1）</w:t>
      </w:r>
    </w:p>
    <w:p w14:paraId="382661AB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337DA5C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A：解密时间倒计时，投标人必须在倒计时结束前完成解密</w:t>
      </w:r>
    </w:p>
    <w:p w14:paraId="764E8AA7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B：项目经理开标后，即显示，点击箭头所指图标，弹出如下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（图3.5.3-2）</w:t>
      </w:r>
    </w:p>
    <w:p w14:paraId="3E2A1910">
      <w:pPr>
        <w:ind w:firstLine="420" w:firstLineChars="200"/>
        <w:jc w:val="center"/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2924175" cy="1314450"/>
            <wp:effectExtent l="0" t="0" r="9525" b="0"/>
            <wp:docPr id="4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03FF8">
      <w:pPr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（图3.5.3-2）</w:t>
      </w:r>
    </w:p>
    <w:p w14:paraId="3A730009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8D5255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A：用于CA解密时输入CA证书密码</w:t>
      </w:r>
    </w:p>
    <w:p w14:paraId="5405A2A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B：点击【确定】按钮提交CA解密的密码，执行解密操作</w:t>
      </w:r>
    </w:p>
    <w:p w14:paraId="773D3DF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C：取消解密</w:t>
      </w:r>
    </w:p>
    <w:p w14:paraId="037F75D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D：点击【其他方式解密】可进入密码信封解密模式，页面如下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（图3.5.3-3）</w:t>
      </w:r>
      <w:r>
        <w:rPr>
          <w:rFonts w:hint="eastAsia" w:ascii="仿宋" w:hAnsi="仿宋" w:eastAsia="仿宋"/>
          <w:sz w:val="21"/>
          <w:szCs w:val="21"/>
        </w:rPr>
        <w:t>：</w:t>
      </w:r>
    </w:p>
    <w:p w14:paraId="4BD880A9">
      <w:pPr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5270500" cy="3289300"/>
            <wp:effectExtent l="0" t="0" r="6350" b="6350"/>
            <wp:docPr id="4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CBF24">
      <w:pPr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（图3.5.3-3）</w:t>
      </w:r>
    </w:p>
    <w:p w14:paraId="08CDA990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4EEB8D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A：填写密码信封，该密码在编制投标文件生成时设置</w:t>
      </w:r>
    </w:p>
    <w:p w14:paraId="65365E3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B：点击【返回】，返回到上一页</w:t>
      </w:r>
    </w:p>
    <w:p w14:paraId="6B50DC3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C：点击【确定】，提交密码，执行解密操作</w:t>
      </w:r>
    </w:p>
    <w:p w14:paraId="181C181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解密成功后页面显示如下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（图3.5.3-4）：</w:t>
      </w:r>
    </w:p>
    <w:p w14:paraId="08D537E6">
      <w:pPr>
        <w:rPr>
          <w:rFonts w:ascii="仿宋" w:hAnsi="仿宋" w:eastAsia="仿宋"/>
        </w:rPr>
      </w:pPr>
      <w:r>
        <w:drawing>
          <wp:inline distT="0" distB="0" distL="114300" distR="114300">
            <wp:extent cx="5271135" cy="1759585"/>
            <wp:effectExtent l="0" t="0" r="5715" b="12065"/>
            <wp:docPr id="4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E2A99">
      <w:pPr>
        <w:ind w:firstLine="422" w:firstLineChars="200"/>
        <w:jc w:val="center"/>
        <w:rPr>
          <w:rFonts w:ascii="仿宋" w:hAnsi="仿宋" w:eastAsia="仿宋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（图3.5.3-4）</w:t>
      </w:r>
    </w:p>
    <w:p w14:paraId="5E452AB0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31" w:name="_Toc31732"/>
      <w:r>
        <w:rPr>
          <w:rFonts w:hint="eastAsia" w:ascii="仿宋" w:hAnsi="仿宋" w:eastAsia="仿宋"/>
          <w:sz w:val="24"/>
          <w:szCs w:val="24"/>
        </w:rPr>
        <w:t>签名</w:t>
      </w:r>
      <w:bookmarkEnd w:id="31"/>
    </w:p>
    <w:p w14:paraId="1E838C9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项目经理下发开标一览表后，投标人即可签名，如下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（图3.5.4-1）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37B435FF">
      <w:pPr>
        <w:spacing w:line="360" w:lineRule="auto"/>
        <w:ind w:left="120" w:leftChars="50"/>
        <w:jc w:val="center"/>
      </w:pPr>
      <w:r>
        <w:drawing>
          <wp:inline distT="0" distB="0" distL="114300" distR="114300">
            <wp:extent cx="5272405" cy="2444750"/>
            <wp:effectExtent l="0" t="0" r="4445" b="12700"/>
            <wp:docPr id="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84EA2">
      <w:pPr>
        <w:spacing w:line="360" w:lineRule="auto"/>
        <w:ind w:left="120" w:leftChars="50" w:firstLine="422" w:firstLineChars="200"/>
        <w:jc w:val="center"/>
        <w:rPr>
          <w:b/>
          <w:bCs/>
          <w:sz w:val="21"/>
          <w:szCs w:val="20"/>
        </w:rPr>
      </w:pPr>
      <w:r>
        <w:rPr>
          <w:rFonts w:hint="eastAsia" w:ascii="仿宋" w:hAnsi="仿宋" w:eastAsia="仿宋" w:cs="Calibri"/>
          <w:b/>
          <w:bCs/>
          <w:sz w:val="21"/>
          <w:szCs w:val="20"/>
        </w:rPr>
        <w:t>（图3.5.4-1)</w:t>
      </w:r>
    </w:p>
    <w:p w14:paraId="633D4BE8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195DFD1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A：签名时间倒计时，投标人必须在签名倒计时截止前完成签名</w:t>
      </w:r>
    </w:p>
    <w:p w14:paraId="2DB83B4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B：项目经理下发开标一览表后即显示，点击箭头所指图标，弹出如</w:t>
      </w:r>
      <w:r>
        <w:rPr>
          <w:rFonts w:hint="eastAsia" w:ascii="仿宋" w:hAnsi="仿宋" w:eastAsia="仿宋"/>
          <w:b/>
          <w:bCs/>
          <w:sz w:val="21"/>
          <w:szCs w:val="21"/>
        </w:rPr>
        <w:t>（图3.5.4-2）</w:t>
      </w:r>
    </w:p>
    <w:p w14:paraId="0FC6F14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C：点击查看开标记录表，查看开标记录</w:t>
      </w:r>
    </w:p>
    <w:p w14:paraId="5E230C81">
      <w:pPr>
        <w:spacing w:line="360" w:lineRule="auto"/>
        <w:ind w:left="120" w:leftChars="50" w:firstLine="480" w:firstLineChars="200"/>
        <w:rPr>
          <w:rFonts w:ascii="仿宋" w:hAnsi="仿宋" w:eastAsia="仿宋"/>
        </w:rPr>
      </w:pPr>
    </w:p>
    <w:p w14:paraId="01A3974B">
      <w:pPr>
        <w:spacing w:line="360" w:lineRule="auto"/>
        <w:ind w:left="120" w:leftChars="50"/>
        <w:jc w:val="center"/>
      </w:pPr>
      <w:r>
        <w:drawing>
          <wp:inline distT="0" distB="0" distL="114300" distR="114300">
            <wp:extent cx="5271770" cy="2882265"/>
            <wp:effectExtent l="0" t="0" r="5080" b="13335"/>
            <wp:docPr id="4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FD755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（图3.5.4-2）</w:t>
      </w:r>
    </w:p>
    <w:p w14:paraId="3B24D5D6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0F2C3EC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A：关闭当前页面，取消签名</w:t>
      </w:r>
    </w:p>
    <w:p w14:paraId="2F71D99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B：下载开标记录表</w:t>
      </w:r>
    </w:p>
    <w:p w14:paraId="3DB592F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C：点击弹出如下页面，两种签名方式：1.CA签名，在文本框中输入CA密码，点击【确定】按钮执行签名操作。2.人工签名</w:t>
      </w:r>
    </w:p>
    <w:p w14:paraId="79D47D33">
      <w:pPr>
        <w:spacing w:line="360" w:lineRule="auto"/>
        <w:ind w:left="120" w:leftChars="50" w:firstLine="480" w:firstLineChars="200"/>
        <w:jc w:val="center"/>
      </w:pPr>
      <w:r>
        <w:drawing>
          <wp:inline distT="0" distB="0" distL="114300" distR="114300">
            <wp:extent cx="3581400" cy="1819275"/>
            <wp:effectExtent l="0" t="0" r="0" b="9525"/>
            <wp:docPr id="4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C1E77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（图3.5.4-3）</w:t>
      </w:r>
    </w:p>
    <w:p w14:paraId="5F934E32">
      <w:pPr>
        <w:widowControl/>
        <w:jc w:val="left"/>
        <w:rPr>
          <w:rFonts w:hint="eastAsia" w:ascii="仿宋" w:hAnsi="仿宋" w:eastAsia="仿宋"/>
          <w:b/>
          <w:bCs/>
          <w:sz w:val="21"/>
          <w:szCs w:val="20"/>
        </w:rPr>
      </w:pPr>
      <w:r>
        <w:rPr>
          <w:rFonts w:ascii="仿宋" w:hAnsi="仿宋" w:eastAsia="仿宋"/>
          <w:b/>
          <w:bCs/>
          <w:sz w:val="21"/>
          <w:szCs w:val="20"/>
        </w:rPr>
        <w:br w:type="page"/>
      </w:r>
    </w:p>
    <w:p w14:paraId="67D3FB7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签名成功后，则弹出如下页面：</w:t>
      </w:r>
    </w:p>
    <w:p w14:paraId="4A62303C">
      <w:pPr>
        <w:spacing w:line="360" w:lineRule="auto"/>
        <w:ind w:left="120" w:leftChars="50"/>
        <w:jc w:val="center"/>
      </w:pPr>
      <w:r>
        <w:drawing>
          <wp:inline distT="0" distB="0" distL="114300" distR="114300">
            <wp:extent cx="5274310" cy="3098800"/>
            <wp:effectExtent l="0" t="0" r="2540" b="6350"/>
            <wp:docPr id="4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8684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（图3.5.4-4）</w:t>
      </w:r>
    </w:p>
    <w:p w14:paraId="33E1563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联系人姓名与号码可修改，确认无误后，勾选并点击确定，开标大厅自动关闭</w:t>
      </w:r>
    </w:p>
    <w:p w14:paraId="66B690AB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32" w:name="_中标候选公示查看"/>
      <w:bookmarkEnd w:id="32"/>
      <w:bookmarkStart w:id="33" w:name="_Toc4180"/>
      <w:r>
        <w:rPr>
          <w:rFonts w:hint="eastAsia" w:ascii="仿宋" w:hAnsi="仿宋" w:eastAsia="仿宋"/>
          <w:sz w:val="24"/>
          <w:szCs w:val="24"/>
        </w:rPr>
        <w:t>中标候选公示查看</w:t>
      </w:r>
      <w:bookmarkEnd w:id="33"/>
    </w:p>
    <w:p w14:paraId="04D8CB8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项目经理发布中标/成交候选公示后，投标人/供应商通过项目工作台，点击菜单中【中标候选公示查看】，进入如下页面查看：</w:t>
      </w:r>
    </w:p>
    <w:p w14:paraId="0C051154">
      <w:pPr>
        <w:spacing w:line="360" w:lineRule="auto"/>
        <w:ind w:firstLine="420" w:firstLineChars="200"/>
        <w:jc w:val="center"/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3672840" cy="2995295"/>
            <wp:effectExtent l="0" t="0" r="3810" b="0"/>
            <wp:docPr id="4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4"/>
                    <pic:cNvPicPr>
                      <a:picLocks noChangeAspect="1"/>
                    </pic:cNvPicPr>
                  </pic:nvPicPr>
                  <pic:blipFill>
                    <a:blip r:embed="rId53"/>
                    <a:srcRect l="-265" t="-62" r="622" b="58506"/>
                    <a:stretch>
                      <a:fillRect/>
                    </a:stretch>
                  </pic:blipFill>
                  <pic:spPr>
                    <a:xfrm>
                      <a:off x="0" y="0"/>
                      <a:ext cx="3701337" cy="301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66CBA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（图3.6-1）</w:t>
      </w:r>
    </w:p>
    <w:p w14:paraId="0F35F1AB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34" w:name="_中标结果公告查看"/>
      <w:bookmarkEnd w:id="34"/>
      <w:bookmarkStart w:id="35" w:name="_Toc1800"/>
      <w:r>
        <w:rPr>
          <w:rFonts w:hint="eastAsia" w:ascii="仿宋" w:hAnsi="仿宋" w:eastAsia="仿宋"/>
          <w:sz w:val="24"/>
          <w:szCs w:val="24"/>
        </w:rPr>
        <w:t>中标结果公告查看</w:t>
      </w:r>
      <w:bookmarkEnd w:id="35"/>
    </w:p>
    <w:p w14:paraId="2384D54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项目经理发布中标/成交结果公告后，投标人/供应商通过项目工作台，点击菜单中【中标结果公告查看】，进入如下页面查看：</w:t>
      </w:r>
    </w:p>
    <w:p w14:paraId="39F712C8">
      <w:pPr>
        <w:jc w:val="center"/>
      </w:pPr>
      <w:r>
        <w:drawing>
          <wp:inline distT="0" distB="0" distL="114300" distR="114300">
            <wp:extent cx="5269230" cy="3155950"/>
            <wp:effectExtent l="0" t="0" r="7620" b="6350"/>
            <wp:docPr id="5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5"/>
                    <pic:cNvPicPr>
                      <a:picLocks noChangeAspect="1"/>
                    </pic:cNvPicPr>
                  </pic:nvPicPr>
                  <pic:blipFill>
                    <a:blip r:embed="rId54"/>
                    <a:srcRect t="8605" b="454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E31E3">
      <w:pPr>
        <w:spacing w:line="360" w:lineRule="auto"/>
        <w:ind w:left="120" w:leftChars="50" w:firstLine="422" w:firstLineChars="200"/>
        <w:jc w:val="center"/>
        <w:rPr>
          <w:rFonts w:hint="eastAsia"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（图3.7-1）</w:t>
      </w:r>
    </w:p>
    <w:p w14:paraId="20FCC7C7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36" w:name="_中标通知书查看"/>
      <w:bookmarkEnd w:id="36"/>
      <w:bookmarkStart w:id="37" w:name="_Toc7007"/>
      <w:r>
        <w:rPr>
          <w:rFonts w:hint="eastAsia" w:ascii="仿宋" w:hAnsi="仿宋" w:eastAsia="仿宋"/>
          <w:sz w:val="24"/>
          <w:szCs w:val="24"/>
        </w:rPr>
        <w:t>中标通知书查看</w:t>
      </w:r>
      <w:bookmarkEnd w:id="37"/>
    </w:p>
    <w:p w14:paraId="1C88EFD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项目经理发出中标/成交通知书后，投标人/供应商通过项目工作台，点击菜单中【中标通知书查看】，进入如下页面查看：</w:t>
      </w:r>
    </w:p>
    <w:p w14:paraId="4C66D191">
      <w:r>
        <w:drawing>
          <wp:inline distT="0" distB="0" distL="114300" distR="114300">
            <wp:extent cx="5269230" cy="1898015"/>
            <wp:effectExtent l="0" t="0" r="7620" b="6985"/>
            <wp:docPr id="5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6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324AA">
      <w:pPr>
        <w:spacing w:line="360" w:lineRule="auto"/>
        <w:ind w:left="120" w:leftChars="50" w:firstLine="422" w:firstLineChars="200"/>
        <w:jc w:val="center"/>
        <w:rPr>
          <w:rFonts w:hint="eastAsia"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（图3.8-1）</w:t>
      </w:r>
    </w:p>
    <w:p w14:paraId="56A3D73C">
      <w:pPr>
        <w:rPr>
          <w:rFonts w:hint="default"/>
          <w:lang w:val="en-US" w:eastAsia="zh-CN"/>
        </w:rPr>
      </w:pPr>
    </w:p>
    <w:p w14:paraId="17D1BB54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38" w:name="_Toc31024"/>
      <w:r>
        <w:rPr>
          <w:rFonts w:hint="eastAsia" w:ascii="仿宋" w:hAnsi="仿宋" w:eastAsia="仿宋"/>
          <w:sz w:val="24"/>
          <w:szCs w:val="24"/>
        </w:rPr>
        <w:t>企业采购项目</w:t>
      </w:r>
      <w:bookmarkEnd w:id="38"/>
    </w:p>
    <w:p w14:paraId="44EA6ED3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39" w:name="_Toc17068"/>
      <w:r>
        <w:rPr>
          <w:rFonts w:hint="eastAsia" w:ascii="仿宋" w:hAnsi="仿宋" w:eastAsia="仿宋"/>
          <w:sz w:val="24"/>
          <w:szCs w:val="24"/>
        </w:rPr>
        <w:t>竞争性谈判项目</w:t>
      </w:r>
      <w:bookmarkEnd w:id="39"/>
    </w:p>
    <w:p w14:paraId="70AA64E6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0" w:name="_Toc25376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40"/>
    </w:p>
    <w:p w14:paraId="53EDBA0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竞争性谈判项目的报名与招标项目一样，见</w:t>
      </w:r>
      <w:r>
        <w:rPr>
          <w:rFonts w:hint="eastAsia" w:ascii="仿宋" w:hAnsi="仿宋" w:eastAsia="仿宋"/>
          <w:b/>
          <w:bCs/>
          <w:sz w:val="21"/>
          <w:szCs w:val="21"/>
        </w:rPr>
        <w:t>章节3.1.1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Fonts w:hint="eastAsia" w:ascii="仿宋" w:hAnsi="仿宋" w:eastAsia="仿宋"/>
          <w:sz w:val="21"/>
          <w:szCs w:val="21"/>
        </w:rPr>
        <w:t>投标人报名</w:t>
      </w:r>
      <w:r>
        <w:rPr>
          <w:rFonts w:hint="eastAsia" w:ascii="仿宋" w:hAnsi="仿宋" w:eastAsia="仿宋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038B79D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竞争性谈判项目的邀请回执与招标项目一样，见</w:t>
      </w:r>
      <w:r>
        <w:rPr>
          <w:rFonts w:hint="eastAsia" w:ascii="仿宋" w:hAnsi="仿宋" w:eastAsia="仿宋"/>
          <w:b/>
          <w:bCs/>
          <w:sz w:val="21"/>
          <w:szCs w:val="21"/>
        </w:rPr>
        <w:t>章节3.1.2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Fonts w:hint="eastAsia" w:ascii="仿宋" w:hAnsi="仿宋" w:eastAsia="仿宋"/>
          <w:sz w:val="21"/>
          <w:szCs w:val="21"/>
        </w:rPr>
        <w:t>邀请回执</w:t>
      </w:r>
      <w:r>
        <w:rPr>
          <w:rFonts w:hint="eastAsia" w:ascii="仿宋" w:hAnsi="仿宋" w:eastAsia="仿宋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18CE5A1E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1" w:name="_Toc23039"/>
      <w:r>
        <w:rPr>
          <w:rFonts w:hint="eastAsia" w:ascii="仿宋" w:hAnsi="仿宋" w:eastAsia="仿宋"/>
          <w:sz w:val="24"/>
          <w:szCs w:val="24"/>
        </w:rPr>
        <w:t>购标</w:t>
      </w:r>
      <w:bookmarkEnd w:id="41"/>
    </w:p>
    <w:p w14:paraId="7895CD84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竞争性谈判项目的下载文件与招标项目一样，见</w:t>
      </w:r>
      <w:r>
        <w:rPr>
          <w:rFonts w:hint="eastAsia" w:ascii="仿宋" w:hAnsi="仿宋" w:eastAsia="仿宋"/>
          <w:b/>
          <w:bCs/>
          <w:sz w:val="21"/>
          <w:szCs w:val="21"/>
        </w:rPr>
        <w:t>章节3.2.3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下载文件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25FA2F6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Fonts w:hint="eastAsia"/>
          <w:sz w:val="21"/>
          <w:szCs w:val="21"/>
        </w:rPr>
        <w:t>招标/采购文件澄清</w:t>
      </w:r>
      <w:r>
        <w:rPr>
          <w:rFonts w:hint="eastAsia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3719F4EF">
      <w:pPr>
        <w:pStyle w:val="4"/>
        <w:numPr>
          <w:ilvl w:val="2"/>
          <w:numId w:val="1"/>
        </w:numPr>
        <w:spacing w:before="20" w:after="20" w:line="360" w:lineRule="auto"/>
        <w:rPr>
          <w:rFonts w:hint="eastAsia" w:ascii="仿宋" w:hAnsi="仿宋" w:eastAsia="仿宋"/>
          <w:sz w:val="24"/>
          <w:szCs w:val="24"/>
        </w:rPr>
      </w:pPr>
      <w:bookmarkStart w:id="42" w:name="_Toc16352"/>
      <w:r>
        <w:rPr>
          <w:rFonts w:hint="eastAsia" w:ascii="仿宋" w:hAnsi="仿宋" w:eastAsia="仿宋"/>
          <w:sz w:val="24"/>
          <w:szCs w:val="24"/>
        </w:rPr>
        <w:t>报价</w:t>
      </w:r>
      <w:bookmarkEnd w:id="42"/>
    </w:p>
    <w:p w14:paraId="79D6551B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3" w:name="_网上报价_1"/>
      <w:bookmarkEnd w:id="43"/>
      <w:r>
        <w:rPr>
          <w:rFonts w:hint="eastAsia" w:ascii="仿宋" w:hAnsi="仿宋" w:eastAsia="仿宋"/>
          <w:sz w:val="24"/>
          <w:szCs w:val="24"/>
        </w:rPr>
        <w:t>网上报价</w:t>
      </w:r>
    </w:p>
    <w:p w14:paraId="2E8BD64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供应商点击项目工作台的【报价】按钮，进入报价页面，如下图所示：</w:t>
      </w:r>
    </w:p>
    <w:p w14:paraId="45A964F3">
      <w:pPr>
        <w:spacing w:line="360" w:lineRule="auto"/>
      </w:pPr>
      <w:r>
        <w:drawing>
          <wp:inline distT="0" distB="0" distL="114300" distR="114300">
            <wp:extent cx="5265420" cy="3641725"/>
            <wp:effectExtent l="0" t="0" r="11430" b="15875"/>
            <wp:docPr id="5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03DC0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（图4.1.3.1-1）</w:t>
      </w:r>
    </w:p>
    <w:p w14:paraId="0E92865D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2639473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A：显示报价截止时间及倒计时，供应商必须在这个时间内完成报价</w:t>
      </w:r>
    </w:p>
    <w:p w14:paraId="7E6E1A5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B：输入报价列，必填项</w:t>
      </w:r>
    </w:p>
    <w:p w14:paraId="60F5642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C：报价联系人及其联系方式默认带入，可修改，必填项</w:t>
      </w:r>
    </w:p>
    <w:p w14:paraId="410F2ED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D：上传响应文件</w:t>
      </w:r>
    </w:p>
    <w:p w14:paraId="7E83BFD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E：点击【保存】，保存已维护的页面信息</w:t>
      </w:r>
    </w:p>
    <w:p w14:paraId="1F62C87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F：点击【提交报价】，报价提交至项目经理</w:t>
      </w:r>
    </w:p>
    <w:p w14:paraId="45A6B87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G:另一种维护报价的方式，点击【导入明细】按钮，下载报价模板，填写报价信息后再导入进来，页面会自动显示导入的报价信息;点击【在线编辑】，进入在线编辑器编辑保存后，页面自动显示编辑的报价信息。</w:t>
      </w:r>
    </w:p>
    <w:p w14:paraId="27FECB73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4" w:name="_撤回报价_1"/>
      <w:bookmarkEnd w:id="44"/>
      <w:r>
        <w:rPr>
          <w:rFonts w:hint="eastAsia" w:ascii="仿宋" w:hAnsi="仿宋" w:eastAsia="仿宋"/>
          <w:sz w:val="24"/>
          <w:szCs w:val="24"/>
        </w:rPr>
        <w:t>撤回报价</w:t>
      </w:r>
    </w:p>
    <w:p w14:paraId="74CFD30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网上报价后，供应商可根据需要撤回报价，点击【撤回报价】按钮，即可撤回提交的报价信息，如下图所示：</w:t>
      </w:r>
    </w:p>
    <w:p w14:paraId="63E025C9">
      <w:pPr>
        <w:spacing w:line="360" w:lineRule="auto"/>
        <w:ind w:left="120" w:leftChars="50"/>
        <w:rPr>
          <w:rFonts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71135" cy="2296160"/>
            <wp:effectExtent l="0" t="0" r="5715" b="8890"/>
            <wp:docPr id="5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3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21E4C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（图4.1.3.2-1）</w:t>
      </w:r>
    </w:p>
    <w:p w14:paraId="326134D5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5" w:name="_Toc30002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45"/>
    </w:p>
    <w:p w14:paraId="3F28DCC4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sz w:val="21"/>
          <w:szCs w:val="21"/>
        </w:rPr>
        <w:t>中标通知书查看</w:t>
      </w:r>
      <w:r>
        <w:rPr>
          <w:rFonts w:hint="eastAsia"/>
          <w:sz w:val="21"/>
          <w:szCs w:val="21"/>
        </w:rPr>
        <w:fldChar w:fldCharType="end"/>
      </w:r>
    </w:p>
    <w:p w14:paraId="1DAA1250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46" w:name="_Toc3345"/>
      <w:r>
        <w:rPr>
          <w:rFonts w:hint="eastAsia" w:ascii="仿宋" w:hAnsi="仿宋" w:eastAsia="仿宋"/>
          <w:sz w:val="24"/>
          <w:szCs w:val="24"/>
        </w:rPr>
        <w:t>竞争性磋商</w:t>
      </w:r>
      <w:bookmarkEnd w:id="46"/>
      <w:bookmarkStart w:id="71" w:name="_GoBack"/>
      <w:bookmarkEnd w:id="71"/>
    </w:p>
    <w:p w14:paraId="208D4900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7" w:name="_Toc6114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47"/>
    </w:p>
    <w:p w14:paraId="673658D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竞争性磋商项目的报名与招标项目一样，见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"_投标人报名"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02F1A76F">
      <w:pPr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  <w:sz w:val="21"/>
          <w:szCs w:val="21"/>
        </w:rPr>
        <w:t>竞争性磋商项目的邀请回执和招标项目一样，见</w:t>
      </w:r>
      <w:bookmarkStart w:id="48" w:name="_Hlk54605086"/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"_邀请回执"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  <w:bookmarkEnd w:id="48"/>
    </w:p>
    <w:p w14:paraId="0BB0FD95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bookmarkStart w:id="49" w:name="_Toc21075"/>
      <w:r>
        <w:rPr>
          <w:rFonts w:hint="eastAsia" w:ascii="仿宋" w:hAnsi="仿宋" w:eastAsia="仿宋"/>
          <w:bCs/>
          <w:sz w:val="24"/>
          <w:szCs w:val="24"/>
        </w:rPr>
        <w:t>购标</w:t>
      </w:r>
      <w:bookmarkEnd w:id="49"/>
    </w:p>
    <w:p w14:paraId="4584D487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4DDDE33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"_招标/采购文件澄清"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5AA22C77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bookmarkStart w:id="50" w:name="_Toc23493"/>
      <w:r>
        <w:rPr>
          <w:rFonts w:hint="eastAsia" w:ascii="仿宋" w:hAnsi="仿宋" w:eastAsia="仿宋"/>
          <w:bCs/>
          <w:sz w:val="24"/>
          <w:szCs w:val="24"/>
        </w:rPr>
        <w:t>报价</w:t>
      </w:r>
      <w:bookmarkEnd w:id="50"/>
    </w:p>
    <w:p w14:paraId="1A90AF7E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网上报价</w:t>
      </w:r>
    </w:p>
    <w:p w14:paraId="665F8F8E">
      <w:pPr>
        <w:spacing w:line="360" w:lineRule="auto"/>
        <w:ind w:firstLine="420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竞争性磋商项目网上报价与竞争性谈判的网上报价操作一样，见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HYPERLINK  \l "_网上报价_1"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7B131EE9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撤回报价</w:t>
      </w:r>
    </w:p>
    <w:p w14:paraId="3AB8F84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竞争性磋商撤回报价与竞争性谈判撤回报价操作一样，见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HYPERLINK  \l "_撤回报价_1"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651A65DB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成交通知书查看</w:t>
      </w:r>
    </w:p>
    <w:p w14:paraId="06845B4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"_中标通知书查看"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章节3.8</w:t>
      </w:r>
      <w:r>
        <w:rPr>
          <w:rStyle w:val="19"/>
          <w:rFonts w:hint="eastAsia"/>
          <w:b/>
          <w:bCs/>
          <w:sz w:val="21"/>
          <w:szCs w:val="21"/>
        </w:rPr>
        <w:t>中标通知书查看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1EAD9479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bCs/>
          <w:sz w:val="24"/>
          <w:szCs w:val="24"/>
        </w:rPr>
      </w:pPr>
      <w:bookmarkStart w:id="51" w:name="_Toc30928"/>
      <w:r>
        <w:rPr>
          <w:rFonts w:hint="eastAsia" w:ascii="仿宋" w:hAnsi="仿宋" w:eastAsia="仿宋"/>
          <w:bCs/>
          <w:sz w:val="24"/>
          <w:szCs w:val="24"/>
        </w:rPr>
        <w:t>询比价</w:t>
      </w:r>
      <w:bookmarkEnd w:id="51"/>
    </w:p>
    <w:p w14:paraId="0425A0D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2" w:name="_Toc2683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52"/>
    </w:p>
    <w:p w14:paraId="32989C3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询比价项目的报名和招标项目一样，见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"_投标人报名"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3BC7F6D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15584D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3" w:name="_Toc7231"/>
      <w:r>
        <w:rPr>
          <w:rFonts w:hint="eastAsia" w:ascii="仿宋" w:hAnsi="仿宋" w:eastAsia="仿宋"/>
          <w:sz w:val="24"/>
          <w:szCs w:val="24"/>
        </w:rPr>
        <w:t>购标</w:t>
      </w:r>
      <w:bookmarkEnd w:id="53"/>
    </w:p>
    <w:p w14:paraId="63DA836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询比价项目的下载文件和招标项目一样，见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7961956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采购文件澄清和招标文件澄清一样，见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5512F125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4" w:name="_Toc20246"/>
      <w:r>
        <w:rPr>
          <w:rFonts w:hint="eastAsia" w:ascii="仿宋" w:hAnsi="仿宋" w:eastAsia="仿宋"/>
          <w:sz w:val="24"/>
          <w:szCs w:val="24"/>
        </w:rPr>
        <w:t>报价</w:t>
      </w:r>
      <w:bookmarkEnd w:id="54"/>
    </w:p>
    <w:p w14:paraId="52B9F700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网上报价</w:t>
      </w:r>
    </w:p>
    <w:p w14:paraId="60BEFE84">
      <w:pPr>
        <w:spacing w:line="360" w:lineRule="auto"/>
        <w:ind w:firstLine="420" w:firstLineChars="200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询比价项目网上报价与竞争性谈判网上报价操作一样，见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493313BA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撤回报价</w:t>
      </w:r>
    </w:p>
    <w:p w14:paraId="5E597B0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29D0D378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5" w:name="_成交通知书查看_1"/>
      <w:bookmarkEnd w:id="55"/>
      <w:bookmarkStart w:id="56" w:name="_Toc2264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56"/>
    </w:p>
    <w:p w14:paraId="4444E9C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1"/>
          <w:szCs w:val="21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中标通知书查看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22C872BF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57" w:name="_Toc1197"/>
      <w:r>
        <w:rPr>
          <w:rFonts w:hint="eastAsia" w:ascii="仿宋" w:hAnsi="仿宋" w:eastAsia="仿宋"/>
          <w:sz w:val="24"/>
          <w:szCs w:val="24"/>
        </w:rPr>
        <w:t>竞价</w:t>
      </w:r>
      <w:bookmarkEnd w:id="57"/>
    </w:p>
    <w:p w14:paraId="7EE6D6DC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8" w:name="_Toc30225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58"/>
    </w:p>
    <w:p w14:paraId="78CDAF14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竞价项目的报名和招标项目一样，见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3D1EA0E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5B10843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9" w:name="_Toc4784"/>
      <w:r>
        <w:rPr>
          <w:rFonts w:hint="eastAsia" w:ascii="仿宋" w:hAnsi="仿宋" w:eastAsia="仿宋"/>
          <w:sz w:val="24"/>
          <w:szCs w:val="24"/>
        </w:rPr>
        <w:t>购标</w:t>
      </w:r>
      <w:bookmarkEnd w:id="59"/>
    </w:p>
    <w:p w14:paraId="57EC5D2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竞价项目的下载文件和招标项目一样，见</w:t>
      </w:r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"_下载文件"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</w:p>
    <w:p w14:paraId="7E3D5AA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采购文件澄清和招标文件澄清一样，见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74161D0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0" w:name="_Toc19485"/>
      <w:r>
        <w:rPr>
          <w:rFonts w:hint="eastAsia" w:ascii="仿宋" w:hAnsi="仿宋" w:eastAsia="仿宋"/>
          <w:sz w:val="24"/>
          <w:szCs w:val="24"/>
        </w:rPr>
        <w:t>报价</w:t>
      </w:r>
      <w:bookmarkEnd w:id="60"/>
    </w:p>
    <w:p w14:paraId="72520F5F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网上报价</w:t>
      </w:r>
    </w:p>
    <w:p w14:paraId="07FA0B4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竞价项目网上报价与竞争性谈判网上报价操作一样，见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E8F8567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撤回报价</w:t>
      </w:r>
    </w:p>
    <w:p w14:paraId="5BBFE27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B60C22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1" w:name="_Toc3304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61"/>
    </w:p>
    <w:p w14:paraId="28DF5AC4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1"/>
          <w:szCs w:val="21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中标通知书查看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1BA9D697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62" w:name="_Toc29314"/>
      <w:r>
        <w:rPr>
          <w:rFonts w:hint="eastAsia" w:ascii="仿宋" w:hAnsi="仿宋" w:eastAsia="仿宋"/>
          <w:sz w:val="24"/>
          <w:szCs w:val="24"/>
        </w:rPr>
        <w:t>单一来源</w:t>
      </w:r>
      <w:bookmarkEnd w:id="62"/>
    </w:p>
    <w:p w14:paraId="5D9A19F9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3" w:name="_Toc15414"/>
      <w:r>
        <w:rPr>
          <w:rFonts w:hint="eastAsia" w:ascii="仿宋" w:hAnsi="仿宋" w:eastAsia="仿宋"/>
          <w:sz w:val="24"/>
          <w:szCs w:val="24"/>
        </w:rPr>
        <w:t>邀请回执</w:t>
      </w:r>
      <w:bookmarkEnd w:id="63"/>
    </w:p>
    <w:p w14:paraId="59CEE37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70F8F404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4" w:name="_Toc22594"/>
      <w:r>
        <w:rPr>
          <w:rFonts w:hint="eastAsia" w:ascii="仿宋" w:hAnsi="仿宋" w:eastAsia="仿宋"/>
          <w:sz w:val="24"/>
          <w:szCs w:val="24"/>
        </w:rPr>
        <w:t>购标</w:t>
      </w:r>
      <w:bookmarkEnd w:id="64"/>
    </w:p>
    <w:p w14:paraId="7C406C3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26287AD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bookmarkStart w:id="65" w:name="_Hlk54611961"/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"_招标/采购文件澄清"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  <w:bookmarkEnd w:id="65"/>
    </w:p>
    <w:p w14:paraId="02197B59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6" w:name="_Toc7829"/>
      <w:r>
        <w:rPr>
          <w:rFonts w:hint="eastAsia" w:ascii="仿宋" w:hAnsi="仿宋" w:eastAsia="仿宋"/>
          <w:sz w:val="24"/>
          <w:szCs w:val="24"/>
        </w:rPr>
        <w:t>报价</w:t>
      </w:r>
      <w:bookmarkEnd w:id="66"/>
    </w:p>
    <w:p w14:paraId="269DC88B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7" w:name="_网上报价"/>
      <w:bookmarkEnd w:id="67"/>
      <w:r>
        <w:rPr>
          <w:rFonts w:hint="eastAsia" w:ascii="仿宋" w:hAnsi="仿宋" w:eastAsia="仿宋"/>
          <w:sz w:val="24"/>
          <w:szCs w:val="24"/>
        </w:rPr>
        <w:t>网上报价</w:t>
      </w:r>
    </w:p>
    <w:p w14:paraId="7C4F6E7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单一来源项目网上报价与竞争性谈判报价操作一样，见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E4CD286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8" w:name="_撤回报价"/>
      <w:bookmarkEnd w:id="68"/>
      <w:r>
        <w:rPr>
          <w:rFonts w:hint="eastAsia" w:ascii="仿宋" w:hAnsi="仿宋" w:eastAsia="仿宋"/>
          <w:sz w:val="24"/>
          <w:szCs w:val="24"/>
        </w:rPr>
        <w:t>撤回报价</w:t>
      </w:r>
    </w:p>
    <w:p w14:paraId="671B951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28329DC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9" w:name="_成交通知书查看"/>
      <w:bookmarkEnd w:id="69"/>
      <w:bookmarkStart w:id="70" w:name="_Toc10859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70"/>
    </w:p>
    <w:p w14:paraId="7B903C5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1"/>
          <w:szCs w:val="21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中标通知书查看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7C416C3E">
      <w:pPr>
        <w:spacing w:line="20" w:lineRule="atLeas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1164B8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90"/>
    <w:rsid w:val="00041EA3"/>
    <w:rsid w:val="00055524"/>
    <w:rsid w:val="00074EFE"/>
    <w:rsid w:val="000D5B89"/>
    <w:rsid w:val="00145F45"/>
    <w:rsid w:val="001C6A5E"/>
    <w:rsid w:val="001E3D1C"/>
    <w:rsid w:val="00201829"/>
    <w:rsid w:val="00210B1C"/>
    <w:rsid w:val="00236B3D"/>
    <w:rsid w:val="00245096"/>
    <w:rsid w:val="0027701B"/>
    <w:rsid w:val="0029403E"/>
    <w:rsid w:val="002D6CBD"/>
    <w:rsid w:val="00300933"/>
    <w:rsid w:val="00317900"/>
    <w:rsid w:val="00331429"/>
    <w:rsid w:val="00345DCE"/>
    <w:rsid w:val="004013D1"/>
    <w:rsid w:val="00420DFA"/>
    <w:rsid w:val="0048442D"/>
    <w:rsid w:val="004D19E7"/>
    <w:rsid w:val="00563BBB"/>
    <w:rsid w:val="006060EE"/>
    <w:rsid w:val="00621A9F"/>
    <w:rsid w:val="006621E7"/>
    <w:rsid w:val="006A6ABA"/>
    <w:rsid w:val="00734C66"/>
    <w:rsid w:val="0078093A"/>
    <w:rsid w:val="00785D3D"/>
    <w:rsid w:val="007872A9"/>
    <w:rsid w:val="00797C5F"/>
    <w:rsid w:val="0081367E"/>
    <w:rsid w:val="008347CE"/>
    <w:rsid w:val="008E2B03"/>
    <w:rsid w:val="008E3C90"/>
    <w:rsid w:val="00902C91"/>
    <w:rsid w:val="00936B24"/>
    <w:rsid w:val="0096039D"/>
    <w:rsid w:val="00994F5D"/>
    <w:rsid w:val="009A5F37"/>
    <w:rsid w:val="009F7EB4"/>
    <w:rsid w:val="00A865E3"/>
    <w:rsid w:val="00AB6E6A"/>
    <w:rsid w:val="00AD4BC3"/>
    <w:rsid w:val="00AE423B"/>
    <w:rsid w:val="00B913CA"/>
    <w:rsid w:val="00C43A5D"/>
    <w:rsid w:val="00CB52F3"/>
    <w:rsid w:val="00D67B69"/>
    <w:rsid w:val="00D952C8"/>
    <w:rsid w:val="00DE1E58"/>
    <w:rsid w:val="00DF1F99"/>
    <w:rsid w:val="00E82FD0"/>
    <w:rsid w:val="00EE26F1"/>
    <w:rsid w:val="056E319F"/>
    <w:rsid w:val="05C85ADE"/>
    <w:rsid w:val="0ADE22F7"/>
    <w:rsid w:val="11834D8A"/>
    <w:rsid w:val="12F42131"/>
    <w:rsid w:val="15C2651E"/>
    <w:rsid w:val="16EB25A7"/>
    <w:rsid w:val="17915A4D"/>
    <w:rsid w:val="19CE07A7"/>
    <w:rsid w:val="1D772750"/>
    <w:rsid w:val="1DEF7606"/>
    <w:rsid w:val="20686C5A"/>
    <w:rsid w:val="20F901DA"/>
    <w:rsid w:val="235B3B0A"/>
    <w:rsid w:val="276374A6"/>
    <w:rsid w:val="28996F99"/>
    <w:rsid w:val="29B824CD"/>
    <w:rsid w:val="2CC65456"/>
    <w:rsid w:val="306D40D0"/>
    <w:rsid w:val="32D21A22"/>
    <w:rsid w:val="33814172"/>
    <w:rsid w:val="3595371A"/>
    <w:rsid w:val="36634A2E"/>
    <w:rsid w:val="36A83615"/>
    <w:rsid w:val="36FE2918"/>
    <w:rsid w:val="379E46EB"/>
    <w:rsid w:val="395B1A00"/>
    <w:rsid w:val="3AAD7946"/>
    <w:rsid w:val="3B8223E2"/>
    <w:rsid w:val="3C7875E3"/>
    <w:rsid w:val="3CF9609A"/>
    <w:rsid w:val="3D510864"/>
    <w:rsid w:val="3F5C7CEF"/>
    <w:rsid w:val="400E084B"/>
    <w:rsid w:val="40842C71"/>
    <w:rsid w:val="4127729C"/>
    <w:rsid w:val="472807C5"/>
    <w:rsid w:val="477C12C3"/>
    <w:rsid w:val="48507097"/>
    <w:rsid w:val="4A20699B"/>
    <w:rsid w:val="4F435A37"/>
    <w:rsid w:val="597B1A35"/>
    <w:rsid w:val="5D1256CE"/>
    <w:rsid w:val="60D474E7"/>
    <w:rsid w:val="63175414"/>
    <w:rsid w:val="65905173"/>
    <w:rsid w:val="67E3506F"/>
    <w:rsid w:val="68F87312"/>
    <w:rsid w:val="6E993AB6"/>
    <w:rsid w:val="6ED35F4E"/>
    <w:rsid w:val="717E2995"/>
    <w:rsid w:val="75836871"/>
    <w:rsid w:val="77C86AA2"/>
    <w:rsid w:val="7B0277DC"/>
    <w:rsid w:val="7B1726B4"/>
    <w:rsid w:val="7DD2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28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4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8">
    <w:name w:val="toc 3"/>
    <w:basedOn w:val="1"/>
    <w:next w:val="1"/>
    <w:qFormat/>
    <w:uiPriority w:val="39"/>
    <w:pPr>
      <w:ind w:left="840" w:leftChars="400"/>
    </w:pPr>
  </w:style>
  <w:style w:type="paragraph" w:styleId="9">
    <w:name w:val="Balloon Text"/>
    <w:basedOn w:val="1"/>
    <w:link w:val="27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toc 1"/>
    <w:basedOn w:val="1"/>
    <w:next w:val="1"/>
    <w:qFormat/>
    <w:uiPriority w:val="39"/>
    <w:rPr>
      <w:rFonts w:eastAsia="仿宋"/>
      <w:sz w:val="21"/>
    </w:r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5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8">
    <w:name w:val="FollowedHyperlink"/>
    <w:basedOn w:val="17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1">
    <w:name w:val="样式1"/>
    <w:basedOn w:val="17"/>
    <w:qFormat/>
    <w:uiPriority w:val="0"/>
    <w:rPr>
      <w:rFonts w:ascii="Calibri" w:hAnsi="Calibri"/>
    </w:rPr>
  </w:style>
  <w:style w:type="paragraph" w:customStyle="1" w:styleId="22">
    <w:name w:val="样式2"/>
    <w:basedOn w:val="2"/>
    <w:next w:val="1"/>
    <w:qFormat/>
    <w:uiPriority w:val="0"/>
  </w:style>
  <w:style w:type="character" w:customStyle="1" w:styleId="23">
    <w:name w:val="标题 2 字符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24">
    <w:name w:val="标题 5 字符"/>
    <w:basedOn w:val="17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25">
    <w:name w:val="TOC Heading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26">
    <w:name w:val="List Paragraph"/>
    <w:basedOn w:val="1"/>
    <w:qFormat/>
    <w:uiPriority w:val="99"/>
    <w:pPr>
      <w:ind w:firstLine="420" w:firstLineChars="200"/>
    </w:pPr>
  </w:style>
  <w:style w:type="character" w:customStyle="1" w:styleId="27">
    <w:name w:val="批注框文本 字符"/>
    <w:basedOn w:val="17"/>
    <w:link w:val="9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28">
    <w:name w:val="标题 3 字符"/>
    <w:basedOn w:val="17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29">
    <w:name w:val="标题 字符"/>
    <w:basedOn w:val="17"/>
    <w:link w:val="15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0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0" Type="http://schemas.openxmlformats.org/officeDocument/2006/relationships/fontTable" Target="fontTable.xml"/><Relationship Id="rId6" Type="http://schemas.openxmlformats.org/officeDocument/2006/relationships/image" Target="media/image2.png"/><Relationship Id="rId59" Type="http://schemas.openxmlformats.org/officeDocument/2006/relationships/customXml" Target="../customXml/item1.xml"/><Relationship Id="rId58" Type="http://schemas.openxmlformats.org/officeDocument/2006/relationships/numbering" Target="numbering.xml"/><Relationship Id="rId57" Type="http://schemas.openxmlformats.org/officeDocument/2006/relationships/image" Target="media/image53.png"/><Relationship Id="rId56" Type="http://schemas.openxmlformats.org/officeDocument/2006/relationships/image" Target="media/image52.png"/><Relationship Id="rId55" Type="http://schemas.openxmlformats.org/officeDocument/2006/relationships/image" Target="media/image51.png"/><Relationship Id="rId54" Type="http://schemas.openxmlformats.org/officeDocument/2006/relationships/image" Target="media/image50.png"/><Relationship Id="rId53" Type="http://schemas.openxmlformats.org/officeDocument/2006/relationships/image" Target="media/image49.png"/><Relationship Id="rId52" Type="http://schemas.openxmlformats.org/officeDocument/2006/relationships/image" Target="media/image48.png"/><Relationship Id="rId51" Type="http://schemas.openxmlformats.org/officeDocument/2006/relationships/image" Target="media/image47.png"/><Relationship Id="rId50" Type="http://schemas.openxmlformats.org/officeDocument/2006/relationships/image" Target="media/image46.png"/><Relationship Id="rId5" Type="http://schemas.openxmlformats.org/officeDocument/2006/relationships/image" Target="media/image1.png"/><Relationship Id="rId49" Type="http://schemas.openxmlformats.org/officeDocument/2006/relationships/image" Target="media/image45.png"/><Relationship Id="rId48" Type="http://schemas.openxmlformats.org/officeDocument/2006/relationships/image" Target="media/image44.png"/><Relationship Id="rId47" Type="http://schemas.openxmlformats.org/officeDocument/2006/relationships/image" Target="media/image43.png"/><Relationship Id="rId46" Type="http://schemas.openxmlformats.org/officeDocument/2006/relationships/image" Target="media/image42.png"/><Relationship Id="rId45" Type="http://schemas.openxmlformats.org/officeDocument/2006/relationships/image" Target="media/image41.png"/><Relationship Id="rId44" Type="http://schemas.openxmlformats.org/officeDocument/2006/relationships/image" Target="media/image40.png"/><Relationship Id="rId43" Type="http://schemas.openxmlformats.org/officeDocument/2006/relationships/image" Target="media/image39.png"/><Relationship Id="rId42" Type="http://schemas.openxmlformats.org/officeDocument/2006/relationships/image" Target="media/image38.pn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2A42D-9AB4-4390-A700-D933FC3021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35</Pages>
  <Words>464</Words>
  <Characters>689</Characters>
  <Lines>102</Lines>
  <Paragraphs>28</Paragraphs>
  <TotalTime>7</TotalTime>
  <ScaleCrop>false</ScaleCrop>
  <LinksUpToDate>false</LinksUpToDate>
  <CharactersWithSpaces>910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2020-07-07T07:21:00Z</dcterms:created>
  <dc:creator>Administrator</dc:creator>
  <cp:lastModifiedBy>慢慢。</cp:lastModifiedBy>
  <dcterms:modified xsi:type="dcterms:W3CDTF">2025-12-12T03:59:07Z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eyJoZGlkIjoiMDk3MGY2OGJkNGM3OWQwMWQyMmMwYmVlMzY3YWYyNmMiLCJ1c2VySWQiOiI1MDY1ODcwMDUifQ==</vt:lpwstr>
  </property>
  <property fmtid="{D5CDD505-2E9C-101B-9397-08002B2CF9AE}" pid="4" name="ICV">
    <vt:lpwstr>30C8C57E7DA34B49BFAB298BD64308A9_13</vt:lpwstr>
  </property>
</Properties>
</file>